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616161"/>
          <w:sz w:val="63"/>
          <w:szCs w:val="63"/>
        </w:rPr>
      </w:pPr>
      <w:r>
        <w:rPr>
          <w:rFonts w:hint="default" w:ascii="Symbol" w:hAnsi="Symbol" w:eastAsia="Symbol" w:cs="Symbol"/>
          <w:sz w:val="24"/>
        </w:rPr>
        <w:t>·</w:t>
      </w:r>
      <w:r>
        <w:rPr>
          <w:rFonts w:hint="eastAsia" w:ascii="宋体" w:hAnsi="宋体" w:eastAsia="宋体" w:cs="宋体"/>
          <w:sz w:val="24"/>
        </w:rPr>
        <w:t xml:space="preserve">  </w:t>
      </w:r>
      <w:r>
        <w:rPr>
          <w:color w:val="616161"/>
          <w:sz w:val="63"/>
          <w:szCs w:val="63"/>
          <w:bdr w:val="none" w:color="auto" w:sz="0" w:space="0"/>
        </w:rPr>
        <w:t>JW-BK300系列高性能比表面积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969595"/>
        </w:rPr>
      </w:pPr>
      <w:r>
        <w:rPr>
          <w:rFonts w:hint="default" w:ascii="Symbol" w:hAnsi="Symbol" w:eastAsia="Symbol" w:cs="Symbol"/>
          <w:sz w:val="24"/>
        </w:rPr>
        <w:t>·</w:t>
      </w:r>
      <w:r>
        <w:rPr>
          <w:rFonts w:hint="eastAsia" w:ascii="宋体" w:hAnsi="宋体" w:eastAsia="宋体" w:cs="宋体"/>
          <w:sz w:val="24"/>
        </w:rPr>
        <w:t xml:space="preserve">  </w:t>
      </w:r>
      <w:r>
        <w:rPr>
          <w:color w:val="969595"/>
          <w:bdr w:val="none" w:color="auto" w:sz="0" w:space="0"/>
        </w:rPr>
        <w:t>　　比表面积及孔径分布，是表征微纳米粉体材料表面物性及孔结构的重要参数之一，最常用、最可靠的方法是静态容量法气体吸附。JW-BK300系列高性能物理吸附仪即能准确可靠解决粉体材料比表面积及孔径分析问题，该系列产品根据测试功能不同区分为A、B、C三种型号，其中高端C型研究级设备因双站均配置有超低压1torr或0.1torr压力传感器，及10-8Pa超低真空度涡轮分子泵，可有效解决分子筛、催化剂、活性炭等多微孔样品的高效率超微孔分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87788A"/>
        </w:rPr>
      </w:pPr>
      <w:r>
        <w:rPr>
          <w:rFonts w:hint="default" w:ascii="Symbol" w:hAnsi="Symbol" w:eastAsia="Symbol" w:cs="Symbol"/>
          <w:sz w:val="24"/>
        </w:rPr>
        <w:t>·</w:t>
      </w:r>
      <w:r>
        <w:rPr>
          <w:rFonts w:hint="eastAsia" w:ascii="宋体" w:hAnsi="宋体" w:eastAsia="宋体" w:cs="宋体"/>
          <w:sz w:val="24"/>
        </w:rPr>
        <w:t xml:space="preserve">  </w:t>
      </w:r>
      <w:r>
        <w:rPr>
          <w:color w:val="87788A"/>
          <w:bdr w:val="none" w:color="auto" w:sz="0" w:space="0"/>
        </w:rPr>
        <w:drawing>
          <wp:inline distT="0" distB="0" distL="114300" distR="114300">
            <wp:extent cx="762000" cy="7620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762000" cy="762000"/>
                    </a:xfrm>
                    <a:prstGeom prst="rect">
                      <a:avLst/>
                    </a:prstGeom>
                    <a:noFill/>
                    <a:ln w="9525">
                      <a:noFill/>
                    </a:ln>
                  </pic:spPr>
                </pic:pic>
              </a:graphicData>
            </a:graphic>
          </wp:inline>
        </w:drawing>
      </w:r>
      <w:r>
        <w:rPr>
          <w:color w:val="87788A"/>
          <w:bdr w:val="none" w:color="auto" w:sz="0" w:space="0"/>
        </w:rPr>
        <w:t>400-600-5039</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87788A"/>
        </w:rPr>
      </w:pPr>
      <w:r>
        <w:rPr>
          <w:rFonts w:hint="default" w:ascii="Symbol" w:hAnsi="Symbol" w:eastAsia="Symbol" w:cs="Symbol"/>
          <w:sz w:val="24"/>
        </w:rPr>
        <w:t>·</w:t>
      </w:r>
      <w:r>
        <w:rPr>
          <w:rFonts w:hint="eastAsia" w:ascii="宋体" w:hAnsi="宋体" w:eastAsia="宋体" w:cs="宋体"/>
          <w:sz w:val="24"/>
        </w:rPr>
        <w:t xml:space="preserve">  </w:t>
      </w:r>
      <w:r>
        <w:rPr>
          <w:color w:val="87788A"/>
          <w:bdr w:val="none" w:color="auto" w:sz="0" w:space="0"/>
        </w:rPr>
        <w:drawing>
          <wp:inline distT="0" distB="0" distL="114300" distR="114300">
            <wp:extent cx="762000" cy="762000"/>
            <wp:effectExtent l="0" t="0" r="0" b="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762000" cy="762000"/>
                    </a:xfrm>
                    <a:prstGeom prst="rect">
                      <a:avLst/>
                    </a:prstGeom>
                    <a:noFill/>
                    <a:ln w="9525">
                      <a:noFill/>
                    </a:ln>
                  </pic:spPr>
                </pic:pic>
              </a:graphicData>
            </a:graphic>
          </wp:inline>
        </w:drawing>
      </w:r>
      <w:r>
        <w:rPr>
          <w:color w:val="87788A"/>
          <w:bdr w:val="none" w:color="auto" w:sz="0" w:space="0"/>
        </w:rPr>
        <w:t>产品手册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250" w:right="0"/>
        <w:jc w:val="left"/>
      </w:pPr>
      <w:r>
        <w:rPr>
          <w:rFonts w:ascii="宋体" w:hAnsi="宋体" w:eastAsia="宋体" w:cs="宋体"/>
          <w:kern w:val="0"/>
          <w:sz w:val="24"/>
          <w:szCs w:val="24"/>
          <w:bdr w:val="none" w:color="auto" w:sz="0" w:space="0"/>
          <w:lang w:val="en-US" w:eastAsia="zh-CN" w:bidi="ar"/>
        </w:rPr>
        <w:drawing>
          <wp:inline distT="0" distB="0" distL="114300" distR="114300">
            <wp:extent cx="4286250" cy="4286250"/>
            <wp:effectExtent l="0" t="0" r="0" b="0"/>
            <wp:docPr id="1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8"/>
                    <pic:cNvPicPr>
                      <a:picLocks noChangeAspect="1"/>
                    </pic:cNvPicPr>
                  </pic:nvPicPr>
                  <pic:blipFill>
                    <a:blip r:embed="rId6"/>
                    <a:stretch>
                      <a:fillRect/>
                    </a:stretch>
                  </pic:blipFill>
                  <pic:spPr>
                    <a:xfrm>
                      <a:off x="0" y="0"/>
                      <a:ext cx="4286250" cy="4286250"/>
                    </a:xfrm>
                    <a:prstGeom prst="rect">
                      <a:avLst/>
                    </a:prstGeom>
                    <a:noFill/>
                    <a:ln w="9525">
                      <a:noFill/>
                    </a:ln>
                  </pic:spPr>
                </pic:pic>
              </a:graphicData>
            </a:graphic>
          </wp:inline>
        </w:drawing>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250" w:right="0" w:hanging="360"/>
        <w:jc w:val="center"/>
      </w:pPr>
      <w:r>
        <w:rPr>
          <w:bdr w:val="none" w:color="auto" w:sz="0" w:space="0"/>
        </w:rPr>
        <w:drawing>
          <wp:inline distT="0" distB="0" distL="114300" distR="114300">
            <wp:extent cx="7143750" cy="7143750"/>
            <wp:effectExtent l="0" t="0" r="0" b="0"/>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6"/>
                    <a:stretch>
                      <a:fillRect/>
                    </a:stretch>
                  </pic:blipFill>
                  <pic:spPr>
                    <a:xfrm>
                      <a:off x="0" y="0"/>
                      <a:ext cx="7143750" cy="7143750"/>
                    </a:xfrm>
                    <a:prstGeom prst="rect">
                      <a:avLst/>
                    </a:prstGeom>
                    <a:noFill/>
                    <a:ln w="9525">
                      <a:noFill/>
                    </a:ln>
                  </pic:spPr>
                </pic:pic>
              </a:graphicData>
            </a:graphic>
          </wp:inline>
        </w:drawing>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250" w:right="0" w:hanging="360"/>
        <w:jc w:val="center"/>
      </w:pPr>
      <w:r>
        <w:rPr>
          <w:bdr w:val="none" w:color="auto" w:sz="0" w:space="0"/>
        </w:rPr>
        <w:drawing>
          <wp:inline distT="0" distB="0" distL="114300" distR="114300">
            <wp:extent cx="9734550" cy="9563100"/>
            <wp:effectExtent l="0" t="0" r="0" b="0"/>
            <wp:docPr id="1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60"/>
                    <pic:cNvPicPr>
                      <a:picLocks noChangeAspect="1"/>
                    </pic:cNvPicPr>
                  </pic:nvPicPr>
                  <pic:blipFill>
                    <a:blip r:embed="rId7"/>
                    <a:stretch>
                      <a:fillRect/>
                    </a:stretch>
                  </pic:blipFill>
                  <pic:spPr>
                    <a:xfrm>
                      <a:off x="0" y="0"/>
                      <a:ext cx="9734550" cy="9563100"/>
                    </a:xfrm>
                    <a:prstGeom prst="rect">
                      <a:avLst/>
                    </a:prstGeom>
                    <a:noFill/>
                    <a:ln w="9525">
                      <a:noFill/>
                    </a:ln>
                  </pic:spPr>
                </pic:pic>
              </a:graphicData>
            </a:graphic>
          </wp:inline>
        </w:drawing>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250" w:right="0" w:hanging="360"/>
        <w:jc w:val="center"/>
      </w:pPr>
      <w:r>
        <w:rPr>
          <w:bdr w:val="none" w:color="auto" w:sz="0" w:space="0"/>
        </w:rPr>
        <w:drawing>
          <wp:inline distT="0" distB="0" distL="114300" distR="114300">
            <wp:extent cx="10248900" cy="9563100"/>
            <wp:effectExtent l="0" t="0" r="0" b="0"/>
            <wp:docPr id="1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61"/>
                    <pic:cNvPicPr>
                      <a:picLocks noChangeAspect="1"/>
                    </pic:cNvPicPr>
                  </pic:nvPicPr>
                  <pic:blipFill>
                    <a:blip r:embed="rId8"/>
                    <a:stretch>
                      <a:fillRect/>
                    </a:stretch>
                  </pic:blipFill>
                  <pic:spPr>
                    <a:xfrm>
                      <a:off x="0" y="0"/>
                      <a:ext cx="10248900" cy="95631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7"/>
          <w:szCs w:val="27"/>
        </w:rPr>
      </w:pPr>
      <w:r>
        <w:rPr>
          <w:rFonts w:hint="default" w:ascii="Symbol" w:hAnsi="Symbol" w:eastAsia="Symbol" w:cs="Symbol"/>
          <w:sz w:val="24"/>
        </w:rPr>
        <w:t>·</w:t>
      </w:r>
      <w:r>
        <w:rPr>
          <w:rFonts w:hint="eastAsia" w:ascii="宋体" w:hAnsi="宋体" w:eastAsia="宋体" w:cs="宋体"/>
          <w:sz w:val="24"/>
        </w:rPr>
        <w:t xml:space="preserve">  </w:t>
      </w:r>
      <w:r>
        <w:rPr>
          <w:color w:val="FFFFFF"/>
          <w:sz w:val="27"/>
          <w:szCs w:val="27"/>
          <w:bdr w:val="none" w:color="auto" w:sz="0" w:space="0"/>
          <w:shd w:val="clear" w:fill="006094"/>
        </w:rPr>
        <w:t>孔径范围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200" w:lineRule="atLeast"/>
        <w:ind w:left="0" w:right="0"/>
        <w:jc w:val="left"/>
        <w:rPr>
          <w:sz w:val="63"/>
          <w:szCs w:val="63"/>
        </w:rPr>
      </w:pPr>
      <w:r>
        <w:rPr>
          <w:rFonts w:hint="default" w:ascii="Symbol" w:hAnsi="Symbol" w:eastAsia="Symbol" w:cs="Symbol"/>
          <w:sz w:val="24"/>
        </w:rPr>
        <w:t>·</w:t>
      </w:r>
      <w:r>
        <w:rPr>
          <w:rFonts w:hint="eastAsia" w:ascii="宋体" w:hAnsi="宋体" w:eastAsia="宋体" w:cs="宋体"/>
          <w:sz w:val="24"/>
        </w:rPr>
        <w:t xml:space="preserve">  </w:t>
      </w:r>
      <w:r>
        <w:rPr>
          <w:color w:val="FFFFFF"/>
          <w:sz w:val="63"/>
          <w:szCs w:val="63"/>
          <w:bdr w:val="none" w:color="auto" w:sz="0" w:space="0"/>
          <w:shd w:val="clear" w:fill="006094"/>
        </w:rPr>
        <w:t>0.35nm</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top"/>
        <w:rPr>
          <w:sz w:val="27"/>
          <w:szCs w:val="27"/>
        </w:rPr>
      </w:pPr>
      <w:r>
        <w:rPr>
          <w:rFonts w:hint="default" w:ascii="Symbol" w:hAnsi="Symbol" w:eastAsia="Symbol" w:cs="Symbol"/>
          <w:sz w:val="24"/>
        </w:rPr>
        <w:t>·</w:t>
      </w:r>
      <w:r>
        <w:rPr>
          <w:rFonts w:hint="eastAsia" w:ascii="宋体" w:hAnsi="宋体" w:eastAsia="宋体" w:cs="宋体"/>
          <w:sz w:val="24"/>
        </w:rPr>
        <w:t xml:space="preserve">  </w:t>
      </w:r>
      <w:r>
        <w:rPr>
          <w:color w:val="FFFFFF"/>
          <w:sz w:val="27"/>
          <w:szCs w:val="27"/>
          <w:bdr w:val="none" w:color="auto" w:sz="0" w:space="0"/>
          <w:shd w:val="clear" w:fill="006094"/>
        </w:rPr>
        <w:t>-500nm</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50" w:right="0"/>
        <w:jc w:val="left"/>
        <w:rPr>
          <w:sz w:val="27"/>
          <w:szCs w:val="27"/>
        </w:rPr>
      </w:pPr>
      <w:r>
        <w:rPr>
          <w:rFonts w:hint="default" w:ascii="Symbol" w:hAnsi="Symbol" w:eastAsia="Symbol" w:cs="Symbol"/>
          <w:sz w:val="24"/>
        </w:rPr>
        <w:t>·</w:t>
      </w:r>
      <w:r>
        <w:rPr>
          <w:rFonts w:hint="eastAsia" w:ascii="宋体" w:hAnsi="宋体" w:eastAsia="宋体" w:cs="宋体"/>
          <w:sz w:val="24"/>
        </w:rPr>
        <w:t xml:space="preserve">  </w:t>
      </w:r>
      <w:r>
        <w:rPr>
          <w:color w:val="FFFFFF"/>
          <w:sz w:val="27"/>
          <w:szCs w:val="27"/>
          <w:bdr w:val="none" w:color="auto" w:sz="0" w:space="0"/>
          <w:shd w:val="clear" w:fill="006094"/>
        </w:rPr>
        <w:t>比表面范围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200" w:lineRule="atLeast"/>
        <w:ind w:left="750" w:right="0"/>
        <w:jc w:val="left"/>
        <w:rPr>
          <w:sz w:val="63"/>
          <w:szCs w:val="63"/>
        </w:rPr>
      </w:pPr>
      <w:r>
        <w:rPr>
          <w:rFonts w:hint="default" w:ascii="Symbol" w:hAnsi="Symbol" w:eastAsia="Symbol" w:cs="Symbol"/>
          <w:sz w:val="24"/>
        </w:rPr>
        <w:t>·</w:t>
      </w:r>
      <w:r>
        <w:rPr>
          <w:rFonts w:hint="eastAsia" w:ascii="宋体" w:hAnsi="宋体" w:eastAsia="宋体" w:cs="宋体"/>
          <w:sz w:val="24"/>
        </w:rPr>
        <w:t xml:space="preserve">  </w:t>
      </w:r>
      <w:r>
        <w:rPr>
          <w:color w:val="FFFFFF"/>
          <w:sz w:val="63"/>
          <w:szCs w:val="63"/>
          <w:bdr w:val="none" w:color="auto" w:sz="0" w:space="0"/>
          <w:shd w:val="clear" w:fill="006094"/>
        </w:rPr>
        <w:t>0.0001㎡/g</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50" w:right="0"/>
        <w:jc w:val="left"/>
        <w:textAlignment w:val="top"/>
        <w:rPr>
          <w:sz w:val="27"/>
          <w:szCs w:val="27"/>
        </w:rPr>
      </w:pPr>
      <w:r>
        <w:rPr>
          <w:rFonts w:hint="default" w:ascii="Symbol" w:hAnsi="Symbol" w:eastAsia="Symbol" w:cs="Symbol"/>
          <w:sz w:val="24"/>
        </w:rPr>
        <w:t>·</w:t>
      </w:r>
      <w:r>
        <w:rPr>
          <w:rFonts w:hint="eastAsia" w:ascii="宋体" w:hAnsi="宋体" w:eastAsia="宋体" w:cs="宋体"/>
          <w:sz w:val="24"/>
        </w:rPr>
        <w:t xml:space="preserve">  </w:t>
      </w:r>
      <w:r>
        <w:rPr>
          <w:color w:val="FFFFFF"/>
          <w:sz w:val="27"/>
          <w:szCs w:val="27"/>
          <w:bdr w:val="none" w:color="auto" w:sz="0" w:space="0"/>
          <w:shd w:val="clear" w:fill="006094"/>
        </w:rPr>
        <w:t>-无上限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750" w:right="0"/>
        <w:jc w:val="left"/>
        <w:rPr>
          <w:sz w:val="27"/>
          <w:szCs w:val="27"/>
        </w:rPr>
      </w:pPr>
      <w:r>
        <w:rPr>
          <w:rFonts w:hint="default" w:ascii="Symbol" w:hAnsi="Symbol" w:eastAsia="Symbol" w:cs="Symbol"/>
          <w:sz w:val="24"/>
        </w:rPr>
        <w:t>·</w:t>
      </w:r>
      <w:r>
        <w:rPr>
          <w:rFonts w:hint="eastAsia" w:ascii="宋体" w:hAnsi="宋体" w:eastAsia="宋体" w:cs="宋体"/>
          <w:sz w:val="24"/>
        </w:rPr>
        <w:t xml:space="preserve">  </w:t>
      </w:r>
      <w:r>
        <w:rPr>
          <w:color w:val="FFFFFF"/>
          <w:sz w:val="27"/>
          <w:szCs w:val="27"/>
          <w:bdr w:val="none" w:color="auto" w:sz="0" w:space="0"/>
          <w:shd w:val="clear" w:fill="006094"/>
        </w:rPr>
        <w:t>孔径重复精度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200" w:lineRule="atLeast"/>
        <w:ind w:left="750" w:right="0"/>
        <w:jc w:val="left"/>
        <w:rPr>
          <w:sz w:val="63"/>
          <w:szCs w:val="63"/>
        </w:rPr>
      </w:pPr>
      <w:r>
        <w:rPr>
          <w:rFonts w:hint="default" w:ascii="Symbol" w:hAnsi="Symbol" w:eastAsia="Symbol" w:cs="Symbol"/>
          <w:sz w:val="24"/>
        </w:rPr>
        <w:t>·</w:t>
      </w:r>
      <w:r>
        <w:rPr>
          <w:rFonts w:hint="eastAsia" w:ascii="宋体" w:hAnsi="宋体" w:eastAsia="宋体" w:cs="宋体"/>
          <w:sz w:val="24"/>
        </w:rPr>
        <w:t xml:space="preserve">  </w:t>
      </w:r>
      <w:r>
        <w:rPr>
          <w:color w:val="FFFFFF"/>
          <w:sz w:val="63"/>
          <w:szCs w:val="63"/>
          <w:bdr w:val="none" w:color="auto" w:sz="0" w:space="0"/>
          <w:shd w:val="clear" w:fill="006094"/>
        </w:rPr>
        <w:t>≤0.02nm</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7"/>
          <w:szCs w:val="27"/>
        </w:rPr>
      </w:pPr>
      <w:r>
        <w:rPr>
          <w:rFonts w:hint="default" w:ascii="Symbol" w:hAnsi="Symbol" w:eastAsia="Symbol" w:cs="Symbol"/>
          <w:sz w:val="24"/>
        </w:rPr>
        <w:t>·</w:t>
      </w:r>
      <w:r>
        <w:rPr>
          <w:rFonts w:hint="eastAsia" w:ascii="宋体" w:hAnsi="宋体" w:eastAsia="宋体" w:cs="宋体"/>
          <w:sz w:val="24"/>
        </w:rPr>
        <w:t xml:space="preserve">  </w:t>
      </w:r>
      <w:r>
        <w:rPr>
          <w:color w:val="FFFFFF"/>
          <w:sz w:val="27"/>
          <w:szCs w:val="27"/>
          <w:bdr w:val="none" w:color="auto" w:sz="0" w:space="0"/>
          <w:shd w:val="clear" w:fill="006094"/>
        </w:rPr>
        <w:t>比表面重复精度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200" w:lineRule="atLeast"/>
        <w:ind w:left="0" w:right="0"/>
        <w:jc w:val="left"/>
        <w:rPr>
          <w:sz w:val="63"/>
          <w:szCs w:val="63"/>
        </w:rPr>
      </w:pPr>
      <w:r>
        <w:rPr>
          <w:rFonts w:hint="default" w:ascii="Symbol" w:hAnsi="Symbol" w:eastAsia="Symbol" w:cs="Symbol"/>
          <w:sz w:val="24"/>
        </w:rPr>
        <w:t>·</w:t>
      </w:r>
      <w:r>
        <w:rPr>
          <w:rFonts w:hint="eastAsia" w:ascii="宋体" w:hAnsi="宋体" w:eastAsia="宋体" w:cs="宋体"/>
          <w:sz w:val="24"/>
        </w:rPr>
        <w:t xml:space="preserve">  </w:t>
      </w:r>
      <w:r>
        <w:rPr>
          <w:color w:val="FFFFFF"/>
          <w:sz w:val="63"/>
          <w:szCs w:val="63"/>
          <w:bdr w:val="none" w:color="auto" w:sz="0" w:space="0"/>
          <w:shd w:val="clear" w:fill="006094"/>
        </w:rPr>
        <w:t>≤±1%</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900" w:lineRule="atLeast"/>
        <w:ind w:left="0" w:right="0" w:hanging="360"/>
        <w:jc w:val="center"/>
        <w:rPr>
          <w:color w:val="373737"/>
          <w:sz w:val="25"/>
          <w:szCs w:val="25"/>
        </w:rPr>
      </w:pPr>
      <w:r>
        <w:rPr>
          <w:color w:val="373737"/>
          <w:sz w:val="25"/>
          <w:szCs w:val="25"/>
          <w:bdr w:val="none" w:color="auto" w:sz="0" w:space="0"/>
          <w:shd w:val="clear" w:fill="FFFFFF"/>
        </w:rPr>
        <w:t>JW-BK300系列</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900" w:lineRule="atLeast"/>
        <w:ind w:left="0" w:right="0" w:hanging="360"/>
        <w:jc w:val="center"/>
        <w:rPr>
          <w:color w:val="373737"/>
          <w:sz w:val="25"/>
          <w:szCs w:val="25"/>
        </w:rPr>
      </w:pPr>
      <w:r>
        <w:rPr>
          <w:color w:val="373737"/>
          <w:sz w:val="25"/>
          <w:szCs w:val="25"/>
          <w:u w:val="none"/>
          <w:bdr w:val="none" w:color="auto" w:sz="0" w:space="0"/>
          <w:shd w:val="clear" w:fill="FFFFFF"/>
        </w:rPr>
        <w:fldChar w:fldCharType="begin"/>
      </w:r>
      <w:r>
        <w:rPr>
          <w:color w:val="373737"/>
          <w:sz w:val="25"/>
          <w:szCs w:val="25"/>
          <w:u w:val="none"/>
          <w:bdr w:val="none" w:color="auto" w:sz="0" w:space="0"/>
          <w:shd w:val="clear" w:fill="FFFFFF"/>
        </w:rPr>
        <w:instrText xml:space="preserve"> HYPERLINK "http://www.jwgb.net/product_bk300.html" \l "hall_show" </w:instrText>
      </w:r>
      <w:r>
        <w:rPr>
          <w:color w:val="373737"/>
          <w:sz w:val="25"/>
          <w:szCs w:val="25"/>
          <w:u w:val="none"/>
          <w:bdr w:val="none" w:color="auto" w:sz="0" w:space="0"/>
          <w:shd w:val="clear" w:fill="FFFFFF"/>
        </w:rPr>
        <w:fldChar w:fldCharType="separate"/>
      </w:r>
      <w:r>
        <w:rPr>
          <w:rStyle w:val="5"/>
          <w:color w:val="373737"/>
          <w:sz w:val="25"/>
          <w:szCs w:val="25"/>
          <w:u w:val="none"/>
          <w:bdr w:val="none" w:color="auto" w:sz="0" w:space="0"/>
          <w:shd w:val="clear" w:fill="FFFFFF"/>
        </w:rPr>
        <w:t>概述</w:t>
      </w:r>
      <w:r>
        <w:rPr>
          <w:color w:val="373737"/>
          <w:sz w:val="25"/>
          <w:szCs w:val="25"/>
          <w:u w:val="none"/>
          <w:bdr w:val="none" w:color="auto" w:sz="0" w:space="0"/>
          <w:shd w:val="clear" w:fill="FFFFFF"/>
        </w:rPr>
        <w:fldChar w:fldCharType="end"/>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900" w:lineRule="atLeast"/>
        <w:ind w:left="0" w:right="0" w:hanging="360"/>
        <w:jc w:val="center"/>
        <w:rPr>
          <w:color w:val="373737"/>
          <w:sz w:val="25"/>
          <w:szCs w:val="25"/>
        </w:rPr>
      </w:pPr>
      <w:r>
        <w:rPr>
          <w:color w:val="373737"/>
          <w:sz w:val="25"/>
          <w:szCs w:val="25"/>
          <w:u w:val="none"/>
          <w:bdr w:val="none" w:color="auto" w:sz="0" w:space="0"/>
          <w:shd w:val="clear" w:fill="FFFFFF"/>
        </w:rPr>
        <w:fldChar w:fldCharType="begin"/>
      </w:r>
      <w:r>
        <w:rPr>
          <w:color w:val="373737"/>
          <w:sz w:val="25"/>
          <w:szCs w:val="25"/>
          <w:u w:val="none"/>
          <w:bdr w:val="none" w:color="auto" w:sz="0" w:space="0"/>
          <w:shd w:val="clear" w:fill="FFFFFF"/>
        </w:rPr>
        <w:instrText xml:space="preserve"> HYPERLINK "http://www.jwgb.net/product_bk300.html" \l "checkCar" </w:instrText>
      </w:r>
      <w:r>
        <w:rPr>
          <w:color w:val="373737"/>
          <w:sz w:val="25"/>
          <w:szCs w:val="25"/>
          <w:u w:val="none"/>
          <w:bdr w:val="none" w:color="auto" w:sz="0" w:space="0"/>
          <w:shd w:val="clear" w:fill="FFFFFF"/>
        </w:rPr>
        <w:fldChar w:fldCharType="separate"/>
      </w:r>
      <w:r>
        <w:rPr>
          <w:rStyle w:val="5"/>
          <w:color w:val="373737"/>
          <w:sz w:val="25"/>
          <w:szCs w:val="25"/>
          <w:u w:val="none"/>
          <w:bdr w:val="none" w:color="auto" w:sz="0" w:space="0"/>
          <w:shd w:val="clear" w:fill="FFFFFF"/>
        </w:rPr>
        <w:t>产品特点</w:t>
      </w:r>
      <w:r>
        <w:rPr>
          <w:color w:val="373737"/>
          <w:sz w:val="25"/>
          <w:szCs w:val="25"/>
          <w:u w:val="none"/>
          <w:bdr w:val="none" w:color="auto" w:sz="0" w:space="0"/>
          <w:shd w:val="clear" w:fill="FFFFFF"/>
        </w:rPr>
        <w:fldChar w:fldCharType="end"/>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900" w:lineRule="atLeast"/>
        <w:ind w:left="0" w:right="0" w:hanging="360"/>
        <w:jc w:val="center"/>
        <w:rPr>
          <w:color w:val="373737"/>
          <w:sz w:val="25"/>
          <w:szCs w:val="25"/>
        </w:rPr>
      </w:pPr>
      <w:r>
        <w:rPr>
          <w:color w:val="373737"/>
          <w:sz w:val="25"/>
          <w:szCs w:val="25"/>
          <w:u w:val="none"/>
          <w:bdr w:val="none" w:color="auto" w:sz="0" w:space="0"/>
          <w:shd w:val="clear" w:fill="FFFFFF"/>
        </w:rPr>
        <w:fldChar w:fldCharType="begin"/>
      </w:r>
      <w:r>
        <w:rPr>
          <w:color w:val="373737"/>
          <w:sz w:val="25"/>
          <w:szCs w:val="25"/>
          <w:u w:val="none"/>
          <w:bdr w:val="none" w:color="auto" w:sz="0" w:space="0"/>
          <w:shd w:val="clear" w:fill="FFFFFF"/>
        </w:rPr>
        <w:instrText xml:space="preserve"> HYPERLINK "http://www.jwgb.net/product_bk300.html" \l "alpha_price" </w:instrText>
      </w:r>
      <w:r>
        <w:rPr>
          <w:color w:val="373737"/>
          <w:sz w:val="25"/>
          <w:szCs w:val="25"/>
          <w:u w:val="none"/>
          <w:bdr w:val="none" w:color="auto" w:sz="0" w:space="0"/>
          <w:shd w:val="clear" w:fill="FFFFFF"/>
        </w:rPr>
        <w:fldChar w:fldCharType="separate"/>
      </w:r>
      <w:r>
        <w:rPr>
          <w:rStyle w:val="5"/>
          <w:color w:val="373737"/>
          <w:sz w:val="25"/>
          <w:szCs w:val="25"/>
          <w:u w:val="none"/>
          <w:bdr w:val="none" w:color="auto" w:sz="0" w:space="0"/>
          <w:shd w:val="clear" w:fill="FFFFFF"/>
        </w:rPr>
        <w:t>控制软件</w:t>
      </w:r>
      <w:r>
        <w:rPr>
          <w:color w:val="373737"/>
          <w:sz w:val="25"/>
          <w:szCs w:val="25"/>
          <w:u w:val="none"/>
          <w:bdr w:val="none" w:color="auto" w:sz="0" w:space="0"/>
          <w:shd w:val="clear" w:fill="FFFFFF"/>
        </w:rPr>
        <w:fldChar w:fldCharType="end"/>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900" w:lineRule="atLeast"/>
        <w:ind w:left="0" w:right="0" w:hanging="360"/>
        <w:jc w:val="center"/>
        <w:rPr>
          <w:color w:val="373737"/>
          <w:sz w:val="25"/>
          <w:szCs w:val="25"/>
        </w:rPr>
      </w:pPr>
      <w:r>
        <w:rPr>
          <w:color w:val="373737"/>
          <w:sz w:val="25"/>
          <w:szCs w:val="25"/>
          <w:u w:val="none"/>
          <w:bdr w:val="none" w:color="auto" w:sz="0" w:space="0"/>
          <w:shd w:val="clear" w:fill="FFFFFF"/>
        </w:rPr>
        <w:fldChar w:fldCharType="begin"/>
      </w:r>
      <w:r>
        <w:rPr>
          <w:color w:val="373737"/>
          <w:sz w:val="25"/>
          <w:szCs w:val="25"/>
          <w:u w:val="none"/>
          <w:bdr w:val="none" w:color="auto" w:sz="0" w:space="0"/>
          <w:shd w:val="clear" w:fill="FFFFFF"/>
        </w:rPr>
        <w:instrText xml:space="preserve"> HYPERLINK "http://www.jwgb.net/product_bk300.html" \l "ass" </w:instrText>
      </w:r>
      <w:r>
        <w:rPr>
          <w:color w:val="373737"/>
          <w:sz w:val="25"/>
          <w:szCs w:val="25"/>
          <w:u w:val="none"/>
          <w:bdr w:val="none" w:color="auto" w:sz="0" w:space="0"/>
          <w:shd w:val="clear" w:fill="FFFFFF"/>
        </w:rPr>
        <w:fldChar w:fldCharType="separate"/>
      </w:r>
      <w:r>
        <w:rPr>
          <w:rStyle w:val="5"/>
          <w:color w:val="373737"/>
          <w:sz w:val="25"/>
          <w:szCs w:val="25"/>
          <w:u w:val="none"/>
          <w:bdr w:val="none" w:color="auto" w:sz="0" w:space="0"/>
          <w:shd w:val="clear" w:fill="FFFFFF"/>
        </w:rPr>
        <w:t>主机附件</w:t>
      </w:r>
      <w:r>
        <w:rPr>
          <w:color w:val="373737"/>
          <w:sz w:val="25"/>
          <w:szCs w:val="25"/>
          <w:u w:val="none"/>
          <w:bdr w:val="none" w:color="auto" w:sz="0" w:space="0"/>
          <w:shd w:val="clear" w:fill="FFFFFF"/>
        </w:rPr>
        <w:fldChar w:fldCharType="end"/>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900" w:lineRule="atLeast"/>
        <w:ind w:left="0" w:right="0" w:hanging="360"/>
        <w:jc w:val="center"/>
        <w:rPr>
          <w:color w:val="373737"/>
          <w:sz w:val="25"/>
          <w:szCs w:val="25"/>
        </w:rPr>
      </w:pPr>
      <w:r>
        <w:rPr>
          <w:color w:val="373737"/>
          <w:sz w:val="25"/>
          <w:szCs w:val="25"/>
          <w:u w:val="none"/>
          <w:bdr w:val="none" w:color="auto" w:sz="0" w:space="0"/>
          <w:shd w:val="clear" w:fill="FFFFFF"/>
        </w:rPr>
        <w:fldChar w:fldCharType="begin"/>
      </w:r>
      <w:r>
        <w:rPr>
          <w:color w:val="373737"/>
          <w:sz w:val="25"/>
          <w:szCs w:val="25"/>
          <w:u w:val="none"/>
          <w:bdr w:val="none" w:color="auto" w:sz="0" w:space="0"/>
          <w:shd w:val="clear" w:fill="FFFFFF"/>
        </w:rPr>
        <w:instrText xml:space="preserve"> HYPERLINK "http://www.jwgb.net/product_bk300.html" \l "pay_show" </w:instrText>
      </w:r>
      <w:r>
        <w:rPr>
          <w:color w:val="373737"/>
          <w:sz w:val="25"/>
          <w:szCs w:val="25"/>
          <w:u w:val="none"/>
          <w:bdr w:val="none" w:color="auto" w:sz="0" w:space="0"/>
          <w:shd w:val="clear" w:fill="FFFFFF"/>
        </w:rPr>
        <w:fldChar w:fldCharType="separate"/>
      </w:r>
      <w:r>
        <w:rPr>
          <w:rStyle w:val="5"/>
          <w:color w:val="373737"/>
          <w:sz w:val="25"/>
          <w:szCs w:val="25"/>
          <w:u w:val="none"/>
          <w:bdr w:val="none" w:color="auto" w:sz="0" w:space="0"/>
          <w:shd w:val="clear" w:fill="FFFFFF"/>
        </w:rPr>
        <w:t>合作伙伴</w:t>
      </w:r>
      <w:r>
        <w:rPr>
          <w:color w:val="373737"/>
          <w:sz w:val="25"/>
          <w:szCs w:val="25"/>
          <w:u w:val="none"/>
          <w:bdr w:val="none" w:color="auto" w:sz="0" w:space="0"/>
          <w:shd w:val="clear" w:fill="FFFFFF"/>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ymbol" w:hAnsi="Symbol" w:eastAsia="Symbol" w:cs="Symbol"/>
          <w:sz w:val="24"/>
        </w:rPr>
        <w:t>·</w:t>
      </w:r>
      <w:r>
        <w:rPr>
          <w:rFonts w:hint="eastAsia" w:ascii="宋体" w:hAnsi="宋体" w:eastAsia="宋体" w:cs="宋体"/>
          <w:sz w:val="24"/>
        </w:rPr>
        <w:t xml:space="preserve">  </w:t>
      </w:r>
      <w:r>
        <w:rPr>
          <w:rFonts w:ascii="微软雅黑" w:hAnsi="微软雅黑" w:eastAsia="微软雅黑" w:cs="微软雅黑"/>
          <w:i w:val="0"/>
          <w:caps w:val="0"/>
          <w:color w:val="373737"/>
          <w:spacing w:val="0"/>
          <w:sz w:val="52"/>
          <w:szCs w:val="52"/>
          <w:bdr w:val="none" w:color="auto" w:sz="0" w:space="0"/>
        </w:rPr>
        <w:t>产品概览</w:t>
      </w:r>
      <w:r>
        <w:rPr>
          <w:rFonts w:hint="eastAsia" w:ascii="微软雅黑" w:hAnsi="微软雅黑" w:eastAsia="微软雅黑" w:cs="微软雅黑"/>
          <w:i w:val="0"/>
          <w:caps w:val="0"/>
          <w:color w:val="ADADAD"/>
          <w:spacing w:val="0"/>
          <w:sz w:val="31"/>
          <w:szCs w:val="31"/>
          <w:bdr w:val="none" w:color="auto" w:sz="0" w:space="0"/>
        </w:rPr>
        <w:t>/ Outline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color w:val="ADADAD"/>
          <w:sz w:val="31"/>
          <w:szCs w:val="31"/>
        </w:rPr>
      </w:pPr>
      <w:r>
        <w:rPr>
          <w:rFonts w:hint="default" w:ascii="Symbol" w:hAnsi="Symbol" w:eastAsia="Symbol" w:cs="Symbol"/>
          <w:sz w:val="24"/>
        </w:rPr>
        <w:t>·</w:t>
      </w:r>
      <w:r>
        <w:rPr>
          <w:rFonts w:hint="eastAsia" w:ascii="宋体" w:hAnsi="宋体" w:eastAsia="宋体" w:cs="宋体"/>
          <w:sz w:val="24"/>
        </w:rPr>
        <w:t xml:space="preserve">  </w:t>
      </w:r>
      <w:r>
        <w:rPr>
          <w:rFonts w:hint="eastAsia" w:ascii="微软雅黑" w:hAnsi="微软雅黑" w:eastAsia="微软雅黑" w:cs="微软雅黑"/>
          <w:i w:val="0"/>
          <w:caps w:val="0"/>
          <w:color w:val="ADADAD"/>
          <w:spacing w:val="0"/>
          <w:sz w:val="31"/>
          <w:szCs w:val="31"/>
          <w:bdr w:val="none" w:color="auto" w:sz="0" w:space="0"/>
        </w:rPr>
        <w:t>400-600-5039</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11430000" cy="661987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9"/>
                    <a:stretch>
                      <a:fillRect/>
                    </a:stretch>
                  </pic:blipFill>
                  <pic:spPr>
                    <a:xfrm>
                      <a:off x="0" y="0"/>
                      <a:ext cx="11430000" cy="6619875"/>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11430000" cy="4019550"/>
            <wp:effectExtent l="0" t="0" r="0" b="0"/>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0"/>
                    <a:stretch>
                      <a:fillRect/>
                    </a:stretch>
                  </pic:blipFill>
                  <pic:spPr>
                    <a:xfrm>
                      <a:off x="0" y="0"/>
                      <a:ext cx="11430000" cy="40195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5267325" cy="3305175"/>
            <wp:effectExtent l="0" t="0" r="9525" b="9525"/>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1"/>
                    <a:stretch>
                      <a:fillRect/>
                    </a:stretch>
                  </pic:blipFill>
                  <pic:spPr>
                    <a:xfrm>
                      <a:off x="0" y="0"/>
                      <a:ext cx="5267325" cy="33051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200" w:lineRule="atLeast"/>
        <w:ind w:left="0" w:right="0" w:firstLine="0"/>
        <w:jc w:val="left"/>
        <w:rPr>
          <w:rFonts w:hint="eastAsia" w:ascii="微软雅黑" w:hAnsi="微软雅黑" w:eastAsia="微软雅黑" w:cs="微软雅黑"/>
          <w:i w:val="0"/>
          <w:caps w:val="0"/>
          <w:color w:val="373737"/>
          <w:spacing w:val="0"/>
          <w:sz w:val="52"/>
          <w:szCs w:val="52"/>
        </w:rPr>
      </w:pPr>
      <w:r>
        <w:rPr>
          <w:rFonts w:hint="eastAsia" w:ascii="微软雅黑" w:hAnsi="微软雅黑" w:eastAsia="微软雅黑" w:cs="微软雅黑"/>
          <w:i w:val="0"/>
          <w:caps w:val="0"/>
          <w:color w:val="373737"/>
          <w:spacing w:val="0"/>
          <w:kern w:val="0"/>
          <w:sz w:val="52"/>
          <w:szCs w:val="52"/>
          <w:bdr w:val="none" w:color="auto" w:sz="0" w:space="0"/>
          <w:lang w:val="en-US" w:eastAsia="zh-CN" w:bidi="ar"/>
        </w:rPr>
        <w:t>测试原理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低温条件下（液氮或液氩等），在密闭的真空系统中，改变吸附质气体压力，通过高精密压力传感器测量出样品吸附气体分子前后的压力变化值，进而计算出气体吸附量，描绘出等温吸脱附曲线，应用各种物理分析模型进行比表面积及孔隙度分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ymbol" w:hAnsi="Symbol" w:eastAsia="Symbol" w:cs="Symbol"/>
          <w:sz w:val="24"/>
        </w:rPr>
        <w:t>·</w:t>
      </w:r>
      <w:r>
        <w:rPr>
          <w:rFonts w:hint="eastAsia" w:ascii="宋体" w:hAnsi="宋体" w:eastAsia="宋体" w:cs="宋体"/>
          <w:sz w:val="24"/>
        </w:rPr>
        <w:t xml:space="preserve">  </w:t>
      </w:r>
      <w:r>
        <w:rPr>
          <w:rFonts w:hint="eastAsia" w:ascii="微软雅黑" w:hAnsi="微软雅黑" w:eastAsia="微软雅黑" w:cs="微软雅黑"/>
          <w:i w:val="0"/>
          <w:caps w:val="0"/>
          <w:color w:val="373737"/>
          <w:spacing w:val="0"/>
          <w:sz w:val="52"/>
          <w:szCs w:val="52"/>
          <w:bdr w:val="none" w:color="auto" w:sz="0" w:space="0"/>
          <w:shd w:val="clear" w:fill="F9F9F9"/>
        </w:rPr>
        <w:t>产品特点</w:t>
      </w:r>
      <w:r>
        <w:rPr>
          <w:rFonts w:hint="eastAsia" w:ascii="微软雅黑" w:hAnsi="微软雅黑" w:eastAsia="微软雅黑" w:cs="微软雅黑"/>
          <w:i w:val="0"/>
          <w:caps w:val="0"/>
          <w:color w:val="ADADAD"/>
          <w:spacing w:val="0"/>
          <w:sz w:val="31"/>
          <w:szCs w:val="31"/>
          <w:bdr w:val="none" w:color="auto" w:sz="0" w:space="0"/>
          <w:shd w:val="clear" w:fill="F9F9F9"/>
        </w:rPr>
        <w:t>/ Features</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color w:val="ADADAD"/>
          <w:sz w:val="31"/>
          <w:szCs w:val="31"/>
        </w:rPr>
      </w:pPr>
      <w:r>
        <w:rPr>
          <w:rFonts w:hint="default" w:ascii="Symbol" w:hAnsi="Symbol" w:eastAsia="Symbol" w:cs="Symbol"/>
          <w:sz w:val="24"/>
        </w:rPr>
        <w:t>·</w:t>
      </w:r>
      <w:r>
        <w:rPr>
          <w:rFonts w:hint="eastAsia" w:ascii="宋体" w:hAnsi="宋体" w:eastAsia="宋体" w:cs="宋体"/>
          <w:sz w:val="24"/>
        </w:rPr>
        <w:t xml:space="preserve">  </w:t>
      </w:r>
      <w:r>
        <w:rPr>
          <w:rFonts w:hint="eastAsia" w:ascii="微软雅黑" w:hAnsi="微软雅黑" w:eastAsia="微软雅黑" w:cs="微软雅黑"/>
          <w:i w:val="0"/>
          <w:caps w:val="0"/>
          <w:color w:val="ADADAD"/>
          <w:spacing w:val="0"/>
          <w:sz w:val="31"/>
          <w:szCs w:val="31"/>
          <w:bdr w:val="none" w:color="auto" w:sz="0" w:space="0"/>
          <w:shd w:val="clear" w:fill="F9F9F9"/>
        </w:rPr>
        <w:t>400-600-5039</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测试原理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低温条件下（液氮或液氩等），在密闭的真空系统中，改变吸附质气体压力，通过高精密压力传感器测量出样品吸附气体分子前后的压力变化值，进而计算出气体吸附量，描绘出等温吸脱附曲线，应用各种物理分析模型进行比表面积及孔隙度分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饱和蒸汽压P0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核心设计，实时检测，配置独立P0测试压力传感器133KPa，P0值逐点测试、P/P0即时计算，数据更加可靠。也可选择使用大气压输入法测试P0值</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drawing>
          <wp:inline distT="0" distB="0" distL="114300" distR="114300">
            <wp:extent cx="2924175" cy="3114675"/>
            <wp:effectExtent l="0" t="0" r="9525" b="9525"/>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12"/>
                    <a:stretch>
                      <a:fillRect/>
                    </a:stretch>
                  </pic:blipFill>
                  <pic:spPr>
                    <a:xfrm>
                      <a:off x="0" y="0"/>
                      <a:ext cx="2924175" cy="31146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冷自由空间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He自动校正，适合任何粉体、颗粒材料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真空脱气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集同位、异位真空脱气于一体的标准化设计，样品分析的同时，可以进行另外2个样品不同温度及时间的异位脱气处理；分析站可同时进行2个样品不同温度及时间的同位脱气处理材料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涡轮分子泵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C型标配，极限真空高达10-8Pa，为超低压下超微孔分析提供强有力支持，微孔直径测试最小0.35nm</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微孔分布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HK、SF微孔分析模型应用准确，微孔孔径偏差小于0.02 nm，国内唯一通过中国计量院认证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操作便利，人性化设计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以太网数据采集，向导式操作软件，一台计算机可同时控制多台仪器，可远程控制；</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drawing>
          <wp:inline distT="0" distB="0" distL="114300" distR="114300">
            <wp:extent cx="3248025" cy="4857750"/>
            <wp:effectExtent l="0" t="0" r="9525" b="0"/>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3"/>
                    <a:stretch>
                      <a:fillRect/>
                    </a:stretch>
                  </pic:blipFill>
                  <pic:spPr>
                    <a:xfrm>
                      <a:off x="0" y="0"/>
                      <a:ext cx="3248025" cy="48577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可升级性强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BK300系列采用统一标准型集装模块，支持A型、B型升级为研究级C型； 真空系统服务于分析站及脱气站，可升级配置第二套真空系统，分别独立应用于脱气站及分析站。第二套真空系统也可配置分子泵（适用于C型）； 可升级多路进气，最高8路测试气（含回填气）、1路He，便于多种气体自动选择吸附测试； 支持升级为国内外独有的两种混合气体的选择性吸附性能分析，为气体环境净化领域提供了非常有意义的分析方法。 </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drawing>
          <wp:inline distT="0" distB="0" distL="114300" distR="114300">
            <wp:extent cx="5219700" cy="3409950"/>
            <wp:effectExtent l="0" t="0" r="0" b="0"/>
            <wp:docPr id="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67"/>
                    <pic:cNvPicPr>
                      <a:picLocks noChangeAspect="1"/>
                    </pic:cNvPicPr>
                  </pic:nvPicPr>
                  <pic:blipFill>
                    <a:blip r:embed="rId14"/>
                    <a:stretch>
                      <a:fillRect/>
                    </a:stretch>
                  </pic:blipFill>
                  <pic:spPr>
                    <a:xfrm>
                      <a:off x="0" y="0"/>
                      <a:ext cx="5219700" cy="3409950"/>
                    </a:xfrm>
                    <a:prstGeom prst="rect">
                      <a:avLst/>
                    </a:prstGeom>
                    <a:noFill/>
                    <a:ln w="9525">
                      <a:noFill/>
                    </a:ln>
                  </pic:spPr>
                </pic:pic>
              </a:graphicData>
            </a:graphic>
          </wp:inline>
        </w:drawing>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；认证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压力传感器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核心部件，高精度电容式薄膜压力传感器，C型配置1torr（可选择0.1torr）使得物理吸附分析中的气体分压P/P0可达10-7-10-8（N2/77K）</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drawing>
          <wp:inline distT="0" distB="0" distL="114300" distR="114300">
            <wp:extent cx="4886325" cy="2638425"/>
            <wp:effectExtent l="0" t="0" r="9525" b="9525"/>
            <wp:docPr id="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IMG_268"/>
                    <pic:cNvPicPr>
                      <a:picLocks noChangeAspect="1"/>
                    </pic:cNvPicPr>
                  </pic:nvPicPr>
                  <pic:blipFill>
                    <a:blip r:embed="rId15"/>
                    <a:stretch>
                      <a:fillRect/>
                    </a:stretch>
                  </pic:blipFill>
                  <pic:spPr>
                    <a:xfrm>
                      <a:off x="0" y="0"/>
                      <a:ext cx="4886325" cy="26384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液氮面控制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采用3L大容量真空玻璃内胆杜瓦瓶、高效封盖、小内截面、软件修正等综合控制技术，使测试过程中样品管内非均匀温度场保持相对恒定（等温）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防抽飞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自控可调式多通道并联真空系统，抽真空速度得到精细的"阶梯式"自动控制，防样品抽飞；同时设计内置式防抽飞单元，将超细微粉可能被抽飞的可能性降至最低，可有效避免仪器受到污染</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drawing>
          <wp:inline distT="0" distB="0" distL="114300" distR="114300">
            <wp:extent cx="4876800" cy="3238500"/>
            <wp:effectExtent l="0" t="0" r="0" b="0"/>
            <wp:docPr id="1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69"/>
                    <pic:cNvPicPr>
                      <a:picLocks noChangeAspect="1"/>
                    </pic:cNvPicPr>
                  </pic:nvPicPr>
                  <pic:blipFill>
                    <a:blip r:embed="rId16"/>
                    <a:stretch>
                      <a:fillRect/>
                    </a:stretch>
                  </pic:blipFill>
                  <pic:spPr>
                    <a:xfrm>
                      <a:off x="0" y="0"/>
                      <a:ext cx="4876800" cy="32385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NLDFT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非定域密度函数理论孔径分析软件，与北京化工大学、苏州大学深入合作开发，填补了国内空白，与国际接轨，涵盖碳材料、分子筛等各类微孔材料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测试界面上动态显示每个吸附平衡过程，可清晰了解样品的吸附特征，监控实验过程，帮助分析异常现象，还通过事件栏和指示灯显示仪器内部动作进程，是独特的很有使用价值的人性化设计；</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drawing>
          <wp:inline distT="0" distB="0" distL="114300" distR="114300">
            <wp:extent cx="5010150" cy="3648075"/>
            <wp:effectExtent l="0" t="0" r="0" b="9525"/>
            <wp:docPr id="1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IMG_270"/>
                    <pic:cNvPicPr>
                      <a:picLocks noChangeAspect="1"/>
                    </pic:cNvPicPr>
                  </pic:nvPicPr>
                  <pic:blipFill>
                    <a:blip r:embed="rId17"/>
                    <a:stretch>
                      <a:fillRect/>
                    </a:stretch>
                  </pic:blipFill>
                  <pic:spPr>
                    <a:xfrm>
                      <a:off x="0" y="0"/>
                      <a:ext cx="5010150" cy="3648075"/>
                    </a:xfrm>
                    <a:prstGeom prst="rect">
                      <a:avLst/>
                    </a:prstGeom>
                    <a:noFill/>
                    <a:ln w="9525">
                      <a:noFill/>
                    </a:ln>
                  </pic:spPr>
                </pic:pic>
              </a:graphicData>
            </a:graphic>
          </wp:inline>
        </w:drawing>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通过测试界面可直观清晰观察到歧管内部空间压力及温度变化，便于仪器维护，也便于简易测试当前大气压需要； 测试数据自动保存为源文件，支持不联机、多文档同时分析，可拷贝，BET、Langmuir、BJH、t-plots等等十几种物理吸附分析模型供选择使用； 预处理包含随机独立式、同位处理式两种，可按需选择使用，微型可移动加热炉，≦400°C±1°C，可实行10段程序控制。 设计；</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drawing>
          <wp:inline distT="0" distB="0" distL="114300" distR="114300">
            <wp:extent cx="5010150" cy="3648075"/>
            <wp:effectExtent l="0" t="0" r="0" b="9525"/>
            <wp:docPr id="1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1"/>
                    <pic:cNvPicPr>
                      <a:picLocks noChangeAspect="1"/>
                    </pic:cNvPicPr>
                  </pic:nvPicPr>
                  <pic:blipFill>
                    <a:blip r:embed="rId18"/>
                    <a:stretch>
                      <a:fillRect/>
                    </a:stretch>
                  </pic:blipFill>
                  <pic:spPr>
                    <a:xfrm>
                      <a:off x="0" y="0"/>
                      <a:ext cx="5010150" cy="36480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ymbol" w:hAnsi="Symbol" w:eastAsia="Symbol" w:cs="Symbol"/>
          <w:sz w:val="24"/>
        </w:rPr>
        <w:t>·</w:t>
      </w:r>
      <w:r>
        <w:rPr>
          <w:rFonts w:hint="eastAsia" w:ascii="宋体" w:hAnsi="宋体" w:eastAsia="宋体" w:cs="宋体"/>
          <w:sz w:val="24"/>
        </w:rPr>
        <w:t xml:space="preserve">  </w:t>
      </w:r>
      <w:r>
        <w:rPr>
          <w:rFonts w:hint="eastAsia" w:ascii="微软雅黑" w:hAnsi="微软雅黑" w:eastAsia="微软雅黑" w:cs="微软雅黑"/>
          <w:i w:val="0"/>
          <w:caps w:val="0"/>
          <w:color w:val="373737"/>
          <w:spacing w:val="0"/>
          <w:sz w:val="52"/>
          <w:szCs w:val="52"/>
          <w:bdr w:val="none" w:color="auto" w:sz="0" w:space="0"/>
          <w:shd w:val="clear" w:fill="F9F9F9"/>
        </w:rPr>
        <w:t>控制软件</w:t>
      </w:r>
      <w:r>
        <w:rPr>
          <w:rFonts w:hint="eastAsia" w:ascii="微软雅黑" w:hAnsi="微软雅黑" w:eastAsia="微软雅黑" w:cs="微软雅黑"/>
          <w:i w:val="0"/>
          <w:caps w:val="0"/>
          <w:color w:val="ADADAD"/>
          <w:spacing w:val="0"/>
          <w:sz w:val="31"/>
          <w:szCs w:val="31"/>
          <w:bdr w:val="none" w:color="auto" w:sz="0" w:space="0"/>
          <w:shd w:val="clear" w:fill="F9F9F9"/>
        </w:rPr>
        <w:t>/ Software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color w:val="ADADAD"/>
          <w:sz w:val="31"/>
          <w:szCs w:val="31"/>
        </w:rPr>
      </w:pPr>
      <w:r>
        <w:rPr>
          <w:rFonts w:hint="default" w:ascii="Symbol" w:hAnsi="Symbol" w:eastAsia="Symbol" w:cs="Symbol"/>
          <w:sz w:val="24"/>
        </w:rPr>
        <w:t>·</w:t>
      </w:r>
      <w:r>
        <w:rPr>
          <w:rFonts w:hint="eastAsia" w:ascii="宋体" w:hAnsi="宋体" w:eastAsia="宋体" w:cs="宋体"/>
          <w:sz w:val="24"/>
        </w:rPr>
        <w:t xml:space="preserve">  </w:t>
      </w:r>
      <w:r>
        <w:rPr>
          <w:rFonts w:hint="eastAsia" w:ascii="微软雅黑" w:hAnsi="微软雅黑" w:eastAsia="微软雅黑" w:cs="微软雅黑"/>
          <w:i w:val="0"/>
          <w:caps w:val="0"/>
          <w:color w:val="ADADAD"/>
          <w:spacing w:val="0"/>
          <w:sz w:val="31"/>
          <w:szCs w:val="31"/>
          <w:bdr w:val="none" w:color="auto" w:sz="0" w:space="0"/>
          <w:shd w:val="clear" w:fill="F9F9F9"/>
        </w:rPr>
        <w:t>400-600-5039</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JWGB_BK Software 是在Windows平台上的实现操作控制、数据采集、计算分析和生成报告的智能化软件，与主机通过LAN口通讯连接，可实现远程控制。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drawing>
          <wp:inline distT="0" distB="0" distL="114300" distR="114300">
            <wp:extent cx="5162550" cy="6096000"/>
            <wp:effectExtent l="0" t="0" r="0" b="0"/>
            <wp:docPr id="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IMG_272"/>
                    <pic:cNvPicPr>
                      <a:picLocks noChangeAspect="1"/>
                    </pic:cNvPicPr>
                  </pic:nvPicPr>
                  <pic:blipFill>
                    <a:blip r:embed="rId19"/>
                    <a:stretch>
                      <a:fillRect/>
                    </a:stretch>
                  </pic:blipFill>
                  <pic:spPr>
                    <a:xfrm>
                      <a:off x="0" y="0"/>
                      <a:ext cx="5162550" cy="6096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采用独特的吸附平衡压力智能判断与控制法，吸附、脱附过程压力分六段优化设置，在保证充分吸附平衡的条件下，测试效率远高于国外仪器，创造了很有价值的优势 完整的物理吸附计算模型供灵活选择，包括: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-等温吸脱附曲线； </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br w:type="textWrapping"/>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-BET比表面积（单点、多点）； </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br w:type="textWrapping"/>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-Langmuir表面积； </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br w:type="textWrapping"/>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-外表面积（STSA）； </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br w:type="textWrapping"/>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-BJH孔径分析； </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br w:type="textWrapping"/>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-t-plot分析； </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br w:type="textWrapping"/>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-DR、DA、MP方法； </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br w:type="textWrapping"/>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-HK孔径分析； </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br w:type="textWrapping"/>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-SF孔径分析； </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br w:type="textWrapping"/>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-NLDFT孔径分布； </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br w:type="textWrapping"/>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-最可几孔径、平均孔径、总孔体积； </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br w:type="textWrapping"/>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-吸附曲线、吸附热计算，等等；</w:t>
      </w:r>
      <w:r>
        <w:rPr>
          <w:rFonts w:hint="eastAsia" w:ascii="微软雅黑" w:hAnsi="微软雅黑" w:eastAsia="微软雅黑" w:cs="微软雅黑"/>
          <w:i w:val="0"/>
          <w:caps w:val="0"/>
          <w:color w:val="373737"/>
          <w:spacing w:val="0"/>
          <w:kern w:val="0"/>
          <w:sz w:val="25"/>
          <w:szCs w:val="25"/>
          <w:bdr w:val="none" w:color="auto" w:sz="0" w:space="0"/>
          <w:lang w:val="en-US" w:eastAsia="zh-CN" w:bidi="ar"/>
        </w:rPr>
        <w:drawing>
          <wp:inline distT="0" distB="0" distL="114300" distR="114300">
            <wp:extent cx="4981575" cy="2457450"/>
            <wp:effectExtent l="0" t="0" r="9525" b="0"/>
            <wp:docPr id="2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73"/>
                    <pic:cNvPicPr>
                      <a:picLocks noChangeAspect="1"/>
                    </pic:cNvPicPr>
                  </pic:nvPicPr>
                  <pic:blipFill>
                    <a:blip r:embed="rId20"/>
                    <a:stretch>
                      <a:fillRect/>
                    </a:stretch>
                  </pic:blipFill>
                  <pic:spPr>
                    <a:xfrm>
                      <a:off x="0" y="0"/>
                      <a:ext cx="4981575" cy="24574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多文档同时预览及数据分析、对比，功能强大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8686800" cy="5133975"/>
            <wp:effectExtent l="0" t="0" r="0" b="9525"/>
            <wp:docPr id="1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IMG_274"/>
                    <pic:cNvPicPr>
                      <a:picLocks noChangeAspect="1"/>
                    </pic:cNvPicPr>
                  </pic:nvPicPr>
                  <pic:blipFill>
                    <a:blip r:embed="rId21"/>
                    <a:stretch>
                      <a:fillRect/>
                    </a:stretch>
                  </pic:blipFill>
                  <pic:spPr>
                    <a:xfrm>
                      <a:off x="0" y="0"/>
                      <a:ext cx="8686800" cy="51339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典型分析实例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-铁矿粉超小比表面积测试，BET重复性误差仅0.0015m2/g；</w:t>
      </w:r>
    </w:p>
    <w:p>
      <w:pPr>
        <w:keepNext w:val="0"/>
        <w:keepLines w:val="0"/>
        <w:widowControl/>
        <w:suppressLineNumbers w:val="0"/>
        <w:spacing w:before="90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5857875" cy="5200650"/>
            <wp:effectExtent l="0" t="0" r="9525" b="0"/>
            <wp:docPr id="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IMG_275"/>
                    <pic:cNvPicPr>
                      <a:picLocks noChangeAspect="1"/>
                    </pic:cNvPicPr>
                  </pic:nvPicPr>
                  <pic:blipFill>
                    <a:blip r:embed="rId22"/>
                    <a:stretch>
                      <a:fillRect/>
                    </a:stretch>
                  </pic:blipFill>
                  <pic:spPr>
                    <a:xfrm>
                      <a:off x="0" y="0"/>
                      <a:ext cx="5857875" cy="520065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5572125" cy="5200650"/>
            <wp:effectExtent l="0" t="0" r="9525" b="0"/>
            <wp:docPr id="2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76"/>
                    <pic:cNvPicPr>
                      <a:picLocks noChangeAspect="1"/>
                    </pic:cNvPicPr>
                  </pic:nvPicPr>
                  <pic:blipFill>
                    <a:blip r:embed="rId23"/>
                    <a:stretch>
                      <a:fillRect/>
                    </a:stretch>
                  </pic:blipFill>
                  <pic:spPr>
                    <a:xfrm>
                      <a:off x="0" y="0"/>
                      <a:ext cx="5572125" cy="52006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-白炭黑中大孔材料BET比表面积、孔径、孔体积分析；</w:t>
      </w:r>
    </w:p>
    <w:p>
      <w:pPr>
        <w:keepNext w:val="0"/>
        <w:keepLines w:val="0"/>
        <w:widowControl/>
        <w:suppressLineNumbers w:val="0"/>
        <w:spacing w:before="90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3609975" cy="3133725"/>
            <wp:effectExtent l="0" t="0" r="9525" b="9525"/>
            <wp:docPr id="2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77"/>
                    <pic:cNvPicPr>
                      <a:picLocks noChangeAspect="1"/>
                    </pic:cNvPicPr>
                  </pic:nvPicPr>
                  <pic:blipFill>
                    <a:blip r:embed="rId24"/>
                    <a:stretch>
                      <a:fillRect/>
                    </a:stretch>
                  </pic:blipFill>
                  <pic:spPr>
                    <a:xfrm>
                      <a:off x="0" y="0"/>
                      <a:ext cx="3609975" cy="3133725"/>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4086225" cy="3133725"/>
            <wp:effectExtent l="0" t="0" r="9525" b="9525"/>
            <wp:docPr id="2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IMG_278"/>
                    <pic:cNvPicPr>
                      <a:picLocks noChangeAspect="1"/>
                    </pic:cNvPicPr>
                  </pic:nvPicPr>
                  <pic:blipFill>
                    <a:blip r:embed="rId25"/>
                    <a:stretch>
                      <a:fillRect/>
                    </a:stretch>
                  </pic:blipFill>
                  <pic:spPr>
                    <a:xfrm>
                      <a:off x="0" y="0"/>
                      <a:ext cx="4086225" cy="3133725"/>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3733800" cy="3133725"/>
            <wp:effectExtent l="0" t="0" r="0" b="9525"/>
            <wp:docPr id="2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descr="IMG_279"/>
                    <pic:cNvPicPr>
                      <a:picLocks noChangeAspect="1"/>
                    </pic:cNvPicPr>
                  </pic:nvPicPr>
                  <pic:blipFill>
                    <a:blip r:embed="rId26"/>
                    <a:stretch>
                      <a:fillRect/>
                    </a:stretch>
                  </pic:blipFill>
                  <pic:spPr>
                    <a:xfrm>
                      <a:off x="0" y="0"/>
                      <a:ext cx="3733800" cy="31337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-某高校碳材料微孔分布分析，等温线P/P0达10-8；</w:t>
      </w:r>
    </w:p>
    <w:p>
      <w:pPr>
        <w:keepNext w:val="0"/>
        <w:keepLines w:val="0"/>
        <w:widowControl/>
        <w:suppressLineNumbers w:val="0"/>
        <w:spacing w:before="90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5619750" cy="4457700"/>
            <wp:effectExtent l="0" t="0" r="0" b="0"/>
            <wp:docPr id="2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280"/>
                    <pic:cNvPicPr>
                      <a:picLocks noChangeAspect="1"/>
                    </pic:cNvPicPr>
                  </pic:nvPicPr>
                  <pic:blipFill>
                    <a:blip r:embed="rId27"/>
                    <a:stretch>
                      <a:fillRect/>
                    </a:stretch>
                  </pic:blipFill>
                  <pic:spPr>
                    <a:xfrm>
                      <a:off x="0" y="0"/>
                      <a:ext cx="5619750" cy="445770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5810250" cy="4457700"/>
            <wp:effectExtent l="0" t="0" r="0" b="0"/>
            <wp:docPr id="28"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IMG_281"/>
                    <pic:cNvPicPr>
                      <a:picLocks noChangeAspect="1"/>
                    </pic:cNvPicPr>
                  </pic:nvPicPr>
                  <pic:blipFill>
                    <a:blip r:embed="rId28"/>
                    <a:stretch>
                      <a:fillRect/>
                    </a:stretch>
                  </pic:blipFill>
                  <pic:spPr>
                    <a:xfrm>
                      <a:off x="0" y="0"/>
                      <a:ext cx="5810250" cy="44577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373737"/>
          <w:spacing w:val="0"/>
          <w:sz w:val="25"/>
          <w:szCs w:val="25"/>
        </w:rPr>
      </w:pPr>
      <w:r>
        <w:rPr>
          <w:rFonts w:hint="eastAsia" w:ascii="微软雅黑" w:hAnsi="微软雅黑" w:eastAsia="微软雅黑" w:cs="微软雅黑"/>
          <w:i w:val="0"/>
          <w:caps w:val="0"/>
          <w:color w:val="373737"/>
          <w:spacing w:val="0"/>
          <w:kern w:val="0"/>
          <w:sz w:val="25"/>
          <w:szCs w:val="25"/>
          <w:bdr w:val="none" w:color="auto" w:sz="0" w:space="0"/>
          <w:lang w:val="en-US" w:eastAsia="zh-CN" w:bidi="ar"/>
        </w:rPr>
        <w:t>-活性炭材料NLDFT孔径分布分析；</w:t>
      </w:r>
    </w:p>
    <w:p>
      <w:pPr>
        <w:keepNext w:val="0"/>
        <w:keepLines w:val="0"/>
        <w:widowControl/>
        <w:suppressLineNumbers w:val="0"/>
        <w:spacing w:before="90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5715000" cy="3048000"/>
            <wp:effectExtent l="0" t="0" r="0" b="0"/>
            <wp:docPr id="2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descr="IMG_282"/>
                    <pic:cNvPicPr>
                      <a:picLocks noChangeAspect="1"/>
                    </pic:cNvPicPr>
                  </pic:nvPicPr>
                  <pic:blipFill>
                    <a:blip r:embed="rId29"/>
                    <a:stretch>
                      <a:fillRect/>
                    </a:stretch>
                  </pic:blipFill>
                  <pic:spPr>
                    <a:xfrm>
                      <a:off x="0" y="0"/>
                      <a:ext cx="5715000" cy="304800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5715000" cy="3048000"/>
            <wp:effectExtent l="0" t="0" r="0" b="0"/>
            <wp:docPr id="25"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 descr="IMG_283"/>
                    <pic:cNvPicPr>
                      <a:picLocks noChangeAspect="1"/>
                    </pic:cNvPicPr>
                  </pic:nvPicPr>
                  <pic:blipFill>
                    <a:blip r:embed="rId30"/>
                    <a:stretch>
                      <a:fillRect/>
                    </a:stretch>
                  </pic:blipFill>
                  <pic:spPr>
                    <a:xfrm>
                      <a:off x="0" y="0"/>
                      <a:ext cx="5715000" cy="3048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ymbol" w:hAnsi="Symbol" w:eastAsia="Symbol" w:cs="Symbol"/>
          <w:sz w:val="24"/>
        </w:rPr>
        <w:t>·</w:t>
      </w:r>
      <w:r>
        <w:rPr>
          <w:rFonts w:hint="eastAsia" w:ascii="宋体" w:hAnsi="宋体" w:eastAsia="宋体" w:cs="宋体"/>
          <w:sz w:val="24"/>
        </w:rPr>
        <w:t xml:space="preserve">  </w:t>
      </w:r>
      <w:r>
        <w:rPr>
          <w:rFonts w:hint="eastAsia" w:ascii="微软雅黑" w:hAnsi="微软雅黑" w:eastAsia="微软雅黑" w:cs="微软雅黑"/>
          <w:i w:val="0"/>
          <w:caps w:val="0"/>
          <w:color w:val="373737"/>
          <w:spacing w:val="0"/>
          <w:sz w:val="52"/>
          <w:szCs w:val="52"/>
          <w:bdr w:val="none" w:color="auto" w:sz="0" w:space="0"/>
          <w:shd w:val="clear" w:fill="F9F9F9"/>
        </w:rPr>
        <w:t>性能参数</w:t>
      </w:r>
      <w:r>
        <w:rPr>
          <w:rFonts w:hint="eastAsia" w:ascii="微软雅黑" w:hAnsi="微软雅黑" w:eastAsia="微软雅黑" w:cs="微软雅黑"/>
          <w:i w:val="0"/>
          <w:caps w:val="0"/>
          <w:color w:val="ADADAD"/>
          <w:spacing w:val="0"/>
          <w:sz w:val="31"/>
          <w:szCs w:val="31"/>
          <w:bdr w:val="none" w:color="auto" w:sz="0" w:space="0"/>
          <w:shd w:val="clear" w:fill="F9F9F9"/>
        </w:rPr>
        <w:t>/ Specification</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color w:val="ADADAD"/>
          <w:sz w:val="31"/>
          <w:szCs w:val="31"/>
        </w:rPr>
      </w:pPr>
      <w:r>
        <w:rPr>
          <w:rFonts w:hint="default" w:ascii="Symbol" w:hAnsi="Symbol" w:eastAsia="Symbol" w:cs="Symbol"/>
          <w:sz w:val="24"/>
        </w:rPr>
        <w:t>·</w:t>
      </w:r>
      <w:r>
        <w:rPr>
          <w:rFonts w:hint="eastAsia" w:ascii="宋体" w:hAnsi="宋体" w:eastAsia="宋体" w:cs="宋体"/>
          <w:sz w:val="24"/>
        </w:rPr>
        <w:t xml:space="preserve">  </w:t>
      </w:r>
      <w:r>
        <w:rPr>
          <w:rFonts w:hint="eastAsia" w:ascii="微软雅黑" w:hAnsi="微软雅黑" w:eastAsia="微软雅黑" w:cs="微软雅黑"/>
          <w:i w:val="0"/>
          <w:caps w:val="0"/>
          <w:color w:val="ADADAD"/>
          <w:spacing w:val="0"/>
          <w:sz w:val="31"/>
          <w:szCs w:val="31"/>
          <w:bdr w:val="none" w:color="auto" w:sz="0" w:space="0"/>
          <w:shd w:val="clear" w:fill="F9F9F9"/>
        </w:rPr>
        <w:t>400-600-5039</w:t>
      </w:r>
    </w:p>
    <w:tbl>
      <w:tblPr>
        <w:tblW w:w="8934" w:type="dxa"/>
        <w:tblCellSpacing w:w="7" w:type="dxa"/>
        <w:tblInd w:w="0" w:type="dxa"/>
        <w:shd w:val="clear" w:color="auto" w:fill="CCCCCC"/>
        <w:tblLayout w:type="fixed"/>
        <w:tblCellMar>
          <w:top w:w="0" w:type="dxa"/>
          <w:left w:w="0" w:type="dxa"/>
          <w:bottom w:w="0" w:type="dxa"/>
          <w:right w:w="0" w:type="dxa"/>
        </w:tblCellMar>
      </w:tblPr>
      <w:tblGrid>
        <w:gridCol w:w="1373"/>
        <w:gridCol w:w="2518"/>
        <w:gridCol w:w="2518"/>
        <w:gridCol w:w="2525"/>
      </w:tblGrid>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型号</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JW-BK300A</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JW-BK300B</w:t>
            </w:r>
          </w:p>
        </w:tc>
        <w:tc>
          <w:tcPr>
            <w:tcW w:w="2504"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JW-BK300C</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测试原理</w:t>
            </w:r>
          </w:p>
        </w:tc>
        <w:tc>
          <w:tcPr>
            <w:tcW w:w="7540" w:type="dxa"/>
            <w:gridSpan w:val="3"/>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静态容量法气体吸附</w:t>
            </w:r>
          </w:p>
        </w:tc>
      </w:tr>
      <w:tr>
        <w:tblPrEx>
          <w:shd w:val="clear" w:color="auto" w:fill="CCCCCC"/>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吸附质气体</w:t>
            </w:r>
          </w:p>
        </w:tc>
        <w:tc>
          <w:tcPr>
            <w:tcW w:w="7540" w:type="dxa"/>
            <w:gridSpan w:val="3"/>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N</w:t>
            </w:r>
            <w:r>
              <w:rPr>
                <w:rFonts w:ascii="宋体" w:hAnsi="宋体" w:eastAsia="宋体" w:cs="宋体"/>
                <w:color w:val="373737"/>
                <w:kern w:val="0"/>
                <w:sz w:val="25"/>
                <w:szCs w:val="25"/>
                <w:bdr w:val="none" w:color="auto" w:sz="0" w:space="0"/>
                <w:vertAlign w:val="subscript"/>
                <w:lang w:val="en-US" w:eastAsia="zh-CN" w:bidi="ar"/>
              </w:rPr>
              <w:t>2</w:t>
            </w:r>
            <w:r>
              <w:rPr>
                <w:rFonts w:ascii="宋体" w:hAnsi="宋体" w:eastAsia="宋体" w:cs="宋体"/>
                <w:color w:val="373737"/>
                <w:kern w:val="0"/>
                <w:sz w:val="25"/>
                <w:szCs w:val="25"/>
                <w:bdr w:val="none" w:color="auto" w:sz="0" w:space="0"/>
                <w:lang w:val="en-US" w:eastAsia="zh-CN" w:bidi="ar"/>
              </w:rPr>
              <w:t>、Ar、Kr、H</w:t>
            </w:r>
            <w:r>
              <w:rPr>
                <w:rFonts w:ascii="宋体" w:hAnsi="宋体" w:eastAsia="宋体" w:cs="宋体"/>
                <w:color w:val="373737"/>
                <w:kern w:val="0"/>
                <w:sz w:val="25"/>
                <w:szCs w:val="25"/>
                <w:bdr w:val="none" w:color="auto" w:sz="0" w:space="0"/>
                <w:vertAlign w:val="subscript"/>
                <w:lang w:val="en-US" w:eastAsia="zh-CN" w:bidi="ar"/>
              </w:rPr>
              <w:t>2</w:t>
            </w:r>
            <w:r>
              <w:rPr>
                <w:rFonts w:ascii="宋体" w:hAnsi="宋体" w:eastAsia="宋体" w:cs="宋体"/>
                <w:color w:val="373737"/>
                <w:kern w:val="0"/>
                <w:sz w:val="25"/>
                <w:szCs w:val="25"/>
                <w:bdr w:val="none" w:color="auto" w:sz="0" w:space="0"/>
                <w:lang w:val="en-US" w:eastAsia="zh-CN" w:bidi="ar"/>
              </w:rPr>
              <w:t>、O</w:t>
            </w:r>
            <w:r>
              <w:rPr>
                <w:rFonts w:ascii="宋体" w:hAnsi="宋体" w:eastAsia="宋体" w:cs="宋体"/>
                <w:color w:val="373737"/>
                <w:kern w:val="0"/>
                <w:sz w:val="25"/>
                <w:szCs w:val="25"/>
                <w:bdr w:val="none" w:color="auto" w:sz="0" w:space="0"/>
                <w:vertAlign w:val="subscript"/>
                <w:lang w:val="en-US" w:eastAsia="zh-CN" w:bidi="ar"/>
              </w:rPr>
              <w:t>2</w:t>
            </w:r>
            <w:r>
              <w:rPr>
                <w:rFonts w:ascii="宋体" w:hAnsi="宋体" w:eastAsia="宋体" w:cs="宋体"/>
                <w:color w:val="373737"/>
                <w:kern w:val="0"/>
                <w:sz w:val="25"/>
                <w:szCs w:val="25"/>
                <w:bdr w:val="none" w:color="auto" w:sz="0" w:space="0"/>
                <w:lang w:val="en-US" w:eastAsia="zh-CN" w:bidi="ar"/>
              </w:rPr>
              <w:t>、CO</w:t>
            </w:r>
            <w:r>
              <w:rPr>
                <w:rFonts w:ascii="宋体" w:hAnsi="宋体" w:eastAsia="宋体" w:cs="宋体"/>
                <w:color w:val="373737"/>
                <w:kern w:val="0"/>
                <w:sz w:val="25"/>
                <w:szCs w:val="25"/>
                <w:bdr w:val="none" w:color="auto" w:sz="0" w:space="0"/>
                <w:vertAlign w:val="subscript"/>
                <w:lang w:val="en-US" w:eastAsia="zh-CN" w:bidi="ar"/>
              </w:rPr>
              <w:t>2</w:t>
            </w:r>
            <w:r>
              <w:rPr>
                <w:rFonts w:ascii="宋体" w:hAnsi="宋体" w:eastAsia="宋体" w:cs="宋体"/>
                <w:color w:val="373737"/>
                <w:kern w:val="0"/>
                <w:sz w:val="25"/>
                <w:szCs w:val="25"/>
                <w:bdr w:val="none" w:color="auto" w:sz="0" w:space="0"/>
                <w:lang w:val="en-US" w:eastAsia="zh-CN" w:bidi="ar"/>
              </w:rPr>
              <w:t>、CO、NH</w:t>
            </w:r>
            <w:r>
              <w:rPr>
                <w:rFonts w:ascii="宋体" w:hAnsi="宋体" w:eastAsia="宋体" w:cs="宋体"/>
                <w:color w:val="373737"/>
                <w:kern w:val="0"/>
                <w:sz w:val="25"/>
                <w:szCs w:val="25"/>
                <w:bdr w:val="none" w:color="auto" w:sz="0" w:space="0"/>
                <w:vertAlign w:val="subscript"/>
                <w:lang w:val="en-US" w:eastAsia="zh-CN" w:bidi="ar"/>
              </w:rPr>
              <w:t>3</w:t>
            </w:r>
            <w:r>
              <w:rPr>
                <w:rFonts w:ascii="宋体" w:hAnsi="宋体" w:eastAsia="宋体" w:cs="宋体"/>
                <w:color w:val="373737"/>
                <w:kern w:val="0"/>
                <w:sz w:val="25"/>
                <w:szCs w:val="25"/>
                <w:bdr w:val="none" w:color="auto" w:sz="0" w:space="0"/>
                <w:lang w:val="en-US" w:eastAsia="zh-CN" w:bidi="ar"/>
              </w:rPr>
              <w:t>、CH</w:t>
            </w:r>
            <w:r>
              <w:rPr>
                <w:rFonts w:ascii="宋体" w:hAnsi="宋体" w:eastAsia="宋体" w:cs="宋体"/>
                <w:color w:val="373737"/>
                <w:kern w:val="0"/>
                <w:sz w:val="25"/>
                <w:szCs w:val="25"/>
                <w:bdr w:val="none" w:color="auto" w:sz="0" w:space="0"/>
                <w:vertAlign w:val="subscript"/>
                <w:lang w:val="en-US" w:eastAsia="zh-CN" w:bidi="ar"/>
              </w:rPr>
              <w:t>4</w:t>
            </w:r>
            <w:r>
              <w:rPr>
                <w:rFonts w:ascii="宋体" w:hAnsi="宋体" w:eastAsia="宋体" w:cs="宋体"/>
                <w:color w:val="373737"/>
                <w:kern w:val="0"/>
                <w:sz w:val="25"/>
                <w:szCs w:val="25"/>
                <w:bdr w:val="none" w:color="auto" w:sz="0" w:space="0"/>
                <w:lang w:val="en-US" w:eastAsia="zh-CN" w:bidi="ar"/>
              </w:rPr>
              <w:t>等非腐蚀性气体</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分析口</w:t>
            </w:r>
          </w:p>
        </w:tc>
        <w:tc>
          <w:tcPr>
            <w:tcW w:w="7540" w:type="dxa"/>
            <w:gridSpan w:val="3"/>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3个独立样品管分析口，同时测试；</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3个独立P0分析口，同时测试</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比表面积范围</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0.0005m2/g至未知上限；</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标准样品重复精度≤± 1.0%</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0.0001m2/g至未知上限；</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标准样品重复精度≤± 1.0%</w:t>
            </w:r>
          </w:p>
        </w:tc>
        <w:tc>
          <w:tcPr>
            <w:tcW w:w="2504"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0.0001m2/g至未知上限；</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标准样品重复精度≤± 1.0%</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孔径范围</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0.35nm-500nm；</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大于2nm介孔大孔精确分析；</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孔径重复偏差≤0.2nm</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0.35nm-500nm、</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0.35nm-2nm微孔精确分析；</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微孔重复偏差≤0.02nm</w:t>
            </w:r>
          </w:p>
        </w:tc>
        <w:tc>
          <w:tcPr>
            <w:tcW w:w="2504"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0.35nm-500nm、</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0.35nm-2nm微孔精确分析；</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微孔重复偏差≤0.02nm</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最小孔体积</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0.0001cm3/g</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2504"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压力传感器（分析站）</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1000torr，0.20% (读值)，3只</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1000torr，0.20% (读值)，3只；</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10 torr， 1只（可选配2只或3只）；</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1torr(可选0.1torr)，1只(可选配2只)</w:t>
            </w:r>
          </w:p>
        </w:tc>
        <w:tc>
          <w:tcPr>
            <w:tcW w:w="2504"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1000torr，0.20% (读值)，3只；</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10torr，3只；</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1torr(可选0.1torr)，3只；</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压力传感器（ P0站）</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133KPa，3只</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133KPa，3只</w:t>
            </w:r>
          </w:p>
        </w:tc>
        <w:tc>
          <w:tcPr>
            <w:tcW w:w="2504"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133KPa，3只</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相对压力P/P0范围</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10-5-0.998</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10-8-0.998</w:t>
            </w:r>
          </w:p>
        </w:tc>
        <w:tc>
          <w:tcPr>
            <w:tcW w:w="2504"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10-8-0.998</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脱气站</w:t>
            </w:r>
          </w:p>
        </w:tc>
        <w:tc>
          <w:tcPr>
            <w:tcW w:w="7540" w:type="dxa"/>
            <w:gridSpan w:val="3"/>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标配同位3站，可同时进行三个样品的真空加热脱气； </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另可选配外置式4站真空加热脱气机</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脱气温度</w:t>
            </w:r>
          </w:p>
        </w:tc>
        <w:tc>
          <w:tcPr>
            <w:tcW w:w="7540" w:type="dxa"/>
            <w:gridSpan w:val="3"/>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室温—400℃，精度1℃</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真空泵</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双级旋片式机械真空泵，极限真空6.7*10-2Pa</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德国涡轮分子泵（极限真空10-8Pa）</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+前置机械真空泵（极限真空6.7*10-2Pa）</w:t>
            </w:r>
          </w:p>
        </w:tc>
        <w:tc>
          <w:tcPr>
            <w:tcW w:w="2504"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德国涡轮分子泵（极限真空10-8Pa）</w:t>
            </w:r>
            <w:r>
              <w:rPr>
                <w:rFonts w:ascii="宋体" w:hAnsi="宋体" w:eastAsia="宋体" w:cs="宋体"/>
                <w:color w:val="373737"/>
                <w:kern w:val="0"/>
                <w:sz w:val="25"/>
                <w:szCs w:val="25"/>
                <w:bdr w:val="none" w:color="auto" w:sz="0" w:space="0"/>
                <w:lang w:val="en-US" w:eastAsia="zh-CN" w:bidi="ar"/>
              </w:rPr>
              <w:br w:type="textWrapping"/>
            </w:r>
            <w:r>
              <w:rPr>
                <w:rFonts w:ascii="宋体" w:hAnsi="宋体" w:eastAsia="宋体" w:cs="宋体"/>
                <w:color w:val="373737"/>
                <w:kern w:val="0"/>
                <w:sz w:val="25"/>
                <w:szCs w:val="25"/>
                <w:bdr w:val="none" w:color="auto" w:sz="0" w:space="0"/>
                <w:lang w:val="en-US" w:eastAsia="zh-CN" w:bidi="ar"/>
              </w:rPr>
              <w:t>+前置机械真空泵（极限真空6.7*10-2Pa）</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主机规格</w:t>
            </w:r>
          </w:p>
        </w:tc>
        <w:tc>
          <w:tcPr>
            <w:tcW w:w="7540" w:type="dxa"/>
            <w:gridSpan w:val="3"/>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长700mm×宽700mm×高850mm，重量约80 Kg -90 Kg</w:t>
            </w:r>
          </w:p>
        </w:tc>
      </w:tr>
      <w:tr>
        <w:tblPrEx>
          <w:shd w:val="clear" w:color="auto" w:fill="CCCCCC"/>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环境温度要求</w:t>
            </w:r>
          </w:p>
        </w:tc>
        <w:tc>
          <w:tcPr>
            <w:tcW w:w="7540" w:type="dxa"/>
            <w:gridSpan w:val="3"/>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室温，建议配备空调</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环境湿度要求</w:t>
            </w:r>
          </w:p>
        </w:tc>
        <w:tc>
          <w:tcPr>
            <w:tcW w:w="7540" w:type="dxa"/>
            <w:gridSpan w:val="3"/>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10%-90%</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电源要求</w:t>
            </w:r>
          </w:p>
        </w:tc>
        <w:tc>
          <w:tcPr>
            <w:tcW w:w="7540" w:type="dxa"/>
            <w:gridSpan w:val="3"/>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交流220V±20V，50/60HZ，最大功率300W，电流5A ；</w:t>
            </w:r>
          </w:p>
        </w:tc>
      </w:tr>
      <w:tr>
        <w:tblPrEx>
          <w:tblLayout w:type="fixed"/>
          <w:tblCellMar>
            <w:top w:w="0" w:type="dxa"/>
            <w:left w:w="0" w:type="dxa"/>
            <w:bottom w:w="0" w:type="dxa"/>
            <w:right w:w="0" w:type="dxa"/>
          </w:tblCellMar>
        </w:tblPrEx>
        <w:trPr>
          <w:tblCellSpacing w:w="7" w:type="dxa"/>
        </w:trPr>
        <w:tc>
          <w:tcPr>
            <w:tcW w:w="1352"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推荐应用领域</w:t>
            </w:r>
          </w:p>
        </w:tc>
        <w:tc>
          <w:tcPr>
            <w:tcW w:w="2506"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炭黑、白炭黑，碳酸钙，钛白粉，氧化铝、氧化锌、碳化硅、陶瓷原材料等。</w:t>
            </w:r>
          </w:p>
        </w:tc>
        <w:tc>
          <w:tcPr>
            <w:tcW w:w="5022" w:type="dxa"/>
            <w:gridSpan w:val="2"/>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活性碳材料、分子筛、催化剂、活性金属氧化物、MOF材料等。</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rPr>
          <w:rFonts w:hint="eastAsia" w:ascii="微软雅黑" w:hAnsi="微软雅黑" w:eastAsia="微软雅黑" w:cs="微软雅黑"/>
          <w:i w:val="0"/>
          <w:caps w:val="0"/>
          <w:color w:val="373737"/>
          <w:spacing w:val="0"/>
          <w:sz w:val="29"/>
          <w:szCs w:val="29"/>
        </w:rPr>
      </w:pPr>
      <w:r>
        <w:rPr>
          <w:rFonts w:hint="eastAsia" w:ascii="微软雅黑" w:hAnsi="微软雅黑" w:eastAsia="微软雅黑" w:cs="微软雅黑"/>
          <w:i w:val="0"/>
          <w:caps w:val="0"/>
          <w:color w:val="373737"/>
          <w:spacing w:val="0"/>
          <w:kern w:val="0"/>
          <w:sz w:val="29"/>
          <w:szCs w:val="29"/>
          <w:bdr w:val="none" w:color="auto" w:sz="0" w:space="0"/>
          <w:lang w:val="en-US" w:eastAsia="zh-CN" w:bidi="ar"/>
        </w:rPr>
        <w:t>JWGB耗材配件订货信息表</w:t>
      </w:r>
    </w:p>
    <w:tbl>
      <w:tblPr>
        <w:tblW w:w="8934" w:type="dxa"/>
        <w:tblCellSpacing w:w="7" w:type="dxa"/>
        <w:tblInd w:w="0" w:type="dxa"/>
        <w:shd w:val="clear" w:color="auto" w:fill="CCCCCC"/>
        <w:tblLayout w:type="fixed"/>
        <w:tblCellMar>
          <w:top w:w="0" w:type="dxa"/>
          <w:left w:w="0" w:type="dxa"/>
          <w:bottom w:w="0" w:type="dxa"/>
          <w:right w:w="0" w:type="dxa"/>
        </w:tblCellMar>
      </w:tblPr>
      <w:tblGrid>
        <w:gridCol w:w="2189"/>
        <w:gridCol w:w="1981"/>
        <w:gridCol w:w="1525"/>
        <w:gridCol w:w="1707"/>
        <w:gridCol w:w="1532"/>
      </w:tblGrid>
      <w:tr>
        <w:tblPrEx>
          <w:shd w:val="clear" w:color="auto" w:fill="CCCCCC"/>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名称</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规格</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单位</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标配数量</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可选配置</w:t>
            </w:r>
          </w:p>
        </w:tc>
      </w:tr>
      <w:tr>
        <w:tblPrEx>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JW-BK分析软件</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套</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shd w:val="clear" w:color="auto" w:fill="CCCCCC"/>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石英样品管</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根</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10</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石英芯棒</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根</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4</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石英进样漏斗</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个</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6</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分析杜瓦瓶</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3升</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个</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2</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shd w:val="clear" w:color="auto" w:fill="CCCCCC"/>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冷阱杜瓦</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1升</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个</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静态液氮防挥发盖</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个</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5</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shd w:val="clear" w:color="auto" w:fill="CCCCCC"/>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静态O形密封圈</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只</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20</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shd w:val="clear" w:color="auto" w:fill="CCCCCC"/>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不锈钢金属密封环</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个</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6</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减压阀转接头</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个</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2</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shd w:val="clear" w:color="auto" w:fill="CCCCCC"/>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B8炭黑标准样品</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克</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10</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shd w:val="clear" w:color="auto" w:fill="CCCCCC"/>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G8炭黑标准样品</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克</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10</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磁吸式加热包支架</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个</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2</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液氮面控制专用工具</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个</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液氮罐</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10升</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个</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shd w:val="clear" w:color="auto" w:fill="CCCCCC"/>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液氮罐</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30升</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个</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w:t>
            </w:r>
          </w:p>
        </w:tc>
      </w:tr>
      <w:tr>
        <w:tblPrEx>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机械真空泵</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GHD-031</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台</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w:t>
            </w:r>
          </w:p>
        </w:tc>
      </w:tr>
      <w:tr>
        <w:tblPrEx>
          <w:shd w:val="clear" w:color="auto" w:fill="CCCCCC"/>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静态脱气机</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台</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1</w:t>
            </w:r>
          </w:p>
        </w:tc>
      </w:tr>
      <w:tr>
        <w:tblPrEx>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保修期</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免责保修</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年</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2</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3</w:t>
            </w:r>
          </w:p>
        </w:tc>
      </w:tr>
      <w:tr>
        <w:tblPrEx>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保修期</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免责保修</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年</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2</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4</w:t>
            </w:r>
          </w:p>
        </w:tc>
      </w:tr>
      <w:tr>
        <w:tblPrEx>
          <w:tblLayout w:type="fixed"/>
          <w:tblCellMar>
            <w:top w:w="0" w:type="dxa"/>
            <w:left w:w="0" w:type="dxa"/>
            <w:bottom w:w="0" w:type="dxa"/>
            <w:right w:w="0" w:type="dxa"/>
          </w:tblCellMar>
        </w:tblPrEx>
        <w:trPr>
          <w:tblCellSpacing w:w="7" w:type="dxa"/>
        </w:trPr>
        <w:tc>
          <w:tcPr>
            <w:tcW w:w="2168"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保修期</w:t>
            </w:r>
          </w:p>
        </w:tc>
        <w:tc>
          <w:tcPr>
            <w:tcW w:w="1969"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免责保修</w:t>
            </w:r>
          </w:p>
        </w:tc>
        <w:tc>
          <w:tcPr>
            <w:tcW w:w="1513"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年</w:t>
            </w:r>
          </w:p>
        </w:tc>
        <w:tc>
          <w:tcPr>
            <w:tcW w:w="1695"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2</w:t>
            </w:r>
          </w:p>
        </w:tc>
        <w:tc>
          <w:tcPr>
            <w:tcW w:w="1511" w:type="dxa"/>
            <w:shd w:val="clear" w:color="auto" w:fill="FFFFFF"/>
            <w:tcMar>
              <w:left w:w="300" w:type="dxa"/>
              <w:bottom w:w="300" w:type="dxa"/>
              <w:right w:w="300" w:type="dxa"/>
            </w:tcMar>
            <w:vAlign w:val="center"/>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5</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ymbol" w:hAnsi="Symbol" w:eastAsia="Symbol" w:cs="Symbol"/>
          <w:sz w:val="24"/>
        </w:rPr>
        <w:t>·</w:t>
      </w:r>
      <w:r>
        <w:rPr>
          <w:rFonts w:hint="eastAsia" w:ascii="宋体" w:hAnsi="宋体" w:eastAsia="宋体" w:cs="宋体"/>
          <w:sz w:val="24"/>
        </w:rPr>
        <w:t xml:space="preserve">  </w:t>
      </w:r>
      <w:r>
        <w:rPr>
          <w:rFonts w:hint="eastAsia" w:ascii="微软雅黑" w:hAnsi="微软雅黑" w:eastAsia="微软雅黑" w:cs="微软雅黑"/>
          <w:i w:val="0"/>
          <w:caps w:val="0"/>
          <w:color w:val="373737"/>
          <w:spacing w:val="0"/>
          <w:sz w:val="52"/>
          <w:szCs w:val="52"/>
          <w:bdr w:val="none" w:color="auto" w:sz="0" w:space="0"/>
          <w:shd w:val="clear" w:fill="F9F9F9"/>
        </w:rPr>
        <w:t>主机附件</w:t>
      </w:r>
      <w:r>
        <w:rPr>
          <w:rFonts w:hint="eastAsia" w:ascii="微软雅黑" w:hAnsi="微软雅黑" w:eastAsia="微软雅黑" w:cs="微软雅黑"/>
          <w:i w:val="0"/>
          <w:caps w:val="0"/>
          <w:color w:val="ADADAD"/>
          <w:spacing w:val="0"/>
          <w:sz w:val="31"/>
          <w:szCs w:val="31"/>
          <w:bdr w:val="none" w:color="auto" w:sz="0" w:space="0"/>
          <w:shd w:val="clear" w:fill="F9F9F9"/>
        </w:rPr>
        <w:t>/ Accessory</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color w:val="ADADAD"/>
          <w:sz w:val="31"/>
          <w:szCs w:val="31"/>
        </w:rPr>
      </w:pPr>
      <w:r>
        <w:rPr>
          <w:rFonts w:hint="default" w:ascii="Symbol" w:hAnsi="Symbol" w:eastAsia="Symbol" w:cs="Symbol"/>
          <w:sz w:val="24"/>
        </w:rPr>
        <w:t>·</w:t>
      </w:r>
      <w:r>
        <w:rPr>
          <w:rFonts w:hint="eastAsia" w:ascii="宋体" w:hAnsi="宋体" w:eastAsia="宋体" w:cs="宋体"/>
          <w:sz w:val="24"/>
        </w:rPr>
        <w:t xml:space="preserve">  </w:t>
      </w:r>
      <w:r>
        <w:rPr>
          <w:rFonts w:hint="eastAsia" w:ascii="微软雅黑" w:hAnsi="微软雅黑" w:eastAsia="微软雅黑" w:cs="微软雅黑"/>
          <w:i w:val="0"/>
          <w:caps w:val="0"/>
          <w:color w:val="ADADAD"/>
          <w:spacing w:val="0"/>
          <w:sz w:val="31"/>
          <w:szCs w:val="31"/>
          <w:bdr w:val="none" w:color="auto" w:sz="0" w:space="0"/>
          <w:shd w:val="clear" w:fill="F9F9F9"/>
        </w:rPr>
        <w:t>400-600-5039</w:t>
      </w:r>
    </w:p>
    <w:tbl>
      <w:tblPr>
        <w:tblW w:w="8934" w:type="dxa"/>
        <w:tblCellSpacing w:w="7" w:type="dxa"/>
        <w:tblInd w:w="0" w:type="dxa"/>
        <w:shd w:val="clear" w:color="auto" w:fill="CCCCCC"/>
        <w:tblLayout w:type="fixed"/>
        <w:tblCellMar>
          <w:top w:w="0" w:type="dxa"/>
          <w:left w:w="0" w:type="dxa"/>
          <w:bottom w:w="0" w:type="dxa"/>
          <w:right w:w="0" w:type="dxa"/>
        </w:tblCellMar>
      </w:tblPr>
      <w:tblGrid>
        <w:gridCol w:w="3166"/>
        <w:gridCol w:w="1239"/>
        <w:gridCol w:w="4529"/>
      </w:tblGrid>
      <w:tr>
        <w:tblPrEx>
          <w:shd w:val="clear" w:color="auto" w:fill="CCCCCC"/>
          <w:tblLayout w:type="fixed"/>
          <w:tblCellMar>
            <w:top w:w="0" w:type="dxa"/>
            <w:left w:w="0" w:type="dxa"/>
            <w:bottom w:w="0" w:type="dxa"/>
            <w:right w:w="0" w:type="dxa"/>
          </w:tblCellMar>
        </w:tblPrEx>
        <w:trPr>
          <w:tblCellSpacing w:w="7" w:type="dxa"/>
        </w:trPr>
        <w:tc>
          <w:tcPr>
            <w:tcW w:w="3145"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型号</w:t>
            </w:r>
          </w:p>
        </w:tc>
        <w:tc>
          <w:tcPr>
            <w:tcW w:w="1227"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规格</w:t>
            </w:r>
          </w:p>
        </w:tc>
        <w:tc>
          <w:tcPr>
            <w:tcW w:w="4508"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 </w:t>
            </w:r>
          </w:p>
        </w:tc>
      </w:tr>
      <w:tr>
        <w:tblPrEx>
          <w:shd w:val="clear" w:color="auto" w:fill="CCCCCC"/>
          <w:tblLayout w:type="fixed"/>
          <w:tblCellMar>
            <w:top w:w="0" w:type="dxa"/>
            <w:left w:w="0" w:type="dxa"/>
            <w:bottom w:w="0" w:type="dxa"/>
            <w:right w:w="0" w:type="dxa"/>
          </w:tblCellMar>
        </w:tblPrEx>
        <w:trPr>
          <w:tblCellSpacing w:w="7" w:type="dxa"/>
        </w:trPr>
        <w:tc>
          <w:tcPr>
            <w:tcW w:w="3145"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T-01-001</w:t>
            </w:r>
          </w:p>
        </w:tc>
        <w:tc>
          <w:tcPr>
            <w:tcW w:w="1227"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245mm 圆肚管</w:t>
            </w:r>
          </w:p>
        </w:tc>
        <w:tc>
          <w:tcPr>
            <w:tcW w:w="4508"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kern w:val="0"/>
                <w:sz w:val="25"/>
                <w:szCs w:val="25"/>
                <w:bdr w:val="none" w:color="auto" w:sz="0" w:space="0"/>
                <w:lang w:val="en-US" w:eastAsia="zh-CN" w:bidi="ar"/>
              </w:rPr>
              <w:fldChar w:fldCharType="begin"/>
            </w:r>
            <w:r>
              <w:rPr>
                <w:rFonts w:ascii="宋体" w:hAnsi="宋体" w:eastAsia="宋体" w:cs="宋体"/>
                <w:kern w:val="0"/>
                <w:sz w:val="25"/>
                <w:szCs w:val="25"/>
                <w:bdr w:val="none" w:color="auto" w:sz="0" w:space="0"/>
                <w:lang w:val="en-US" w:eastAsia="zh-CN" w:bidi="ar"/>
              </w:rPr>
              <w:instrText xml:space="preserve"> HYPERLINK "https://item.taobao.com/item.htm?spm=a1z10.3-c-s.w4002-21211505362.17.19bd48c25BdkK1&amp;id=584590767518" \t "http://www.jwgb.net/_blank" </w:instrText>
            </w:r>
            <w:r>
              <w:rPr>
                <w:rFonts w:ascii="宋体" w:hAnsi="宋体" w:eastAsia="宋体" w:cs="宋体"/>
                <w:kern w:val="0"/>
                <w:sz w:val="25"/>
                <w:szCs w:val="25"/>
                <w:bdr w:val="none" w:color="auto" w:sz="0" w:space="0"/>
                <w:lang w:val="en-US" w:eastAsia="zh-CN" w:bidi="ar"/>
              </w:rPr>
              <w:fldChar w:fldCharType="separate"/>
            </w:r>
            <w:r>
              <w:rPr>
                <w:rStyle w:val="5"/>
                <w:rFonts w:ascii="宋体" w:hAnsi="宋体" w:eastAsia="宋体" w:cs="宋体"/>
                <w:sz w:val="25"/>
                <w:szCs w:val="25"/>
                <w:bdr w:val="none" w:color="auto" w:sz="0" w:space="0"/>
              </w:rPr>
              <w:t>在线购买</w:t>
            </w:r>
            <w:r>
              <w:rPr>
                <w:rFonts w:ascii="宋体" w:hAnsi="宋体" w:eastAsia="宋体" w:cs="宋体"/>
                <w:kern w:val="0"/>
                <w:sz w:val="25"/>
                <w:szCs w:val="25"/>
                <w:bdr w:val="none" w:color="auto" w:sz="0" w:space="0"/>
                <w:lang w:val="en-US" w:eastAsia="zh-CN" w:bidi="ar"/>
              </w:rPr>
              <w:fldChar w:fldCharType="end"/>
            </w:r>
          </w:p>
        </w:tc>
      </w:tr>
      <w:tr>
        <w:tblPrEx>
          <w:tblLayout w:type="fixed"/>
          <w:tblCellMar>
            <w:top w:w="0" w:type="dxa"/>
            <w:left w:w="0" w:type="dxa"/>
            <w:bottom w:w="0" w:type="dxa"/>
            <w:right w:w="0" w:type="dxa"/>
          </w:tblCellMar>
        </w:tblPrEx>
        <w:trPr>
          <w:tblCellSpacing w:w="7" w:type="dxa"/>
        </w:trPr>
        <w:tc>
          <w:tcPr>
            <w:tcW w:w="3145"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T-01-051</w:t>
            </w:r>
          </w:p>
        </w:tc>
        <w:tc>
          <w:tcPr>
            <w:tcW w:w="1227"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color w:val="373737"/>
                <w:kern w:val="0"/>
                <w:sz w:val="25"/>
                <w:szCs w:val="25"/>
                <w:bdr w:val="none" w:color="auto" w:sz="0" w:space="0"/>
                <w:lang w:val="en-US" w:eastAsia="zh-CN" w:bidi="ar"/>
              </w:rPr>
              <w:t>200mm 标准管</w:t>
            </w:r>
          </w:p>
        </w:tc>
        <w:tc>
          <w:tcPr>
            <w:tcW w:w="4508" w:type="dxa"/>
            <w:shd w:val="clear" w:color="auto" w:fill="FFFFFF"/>
            <w:tcMar>
              <w:left w:w="300" w:type="dxa"/>
              <w:bottom w:w="300" w:type="dxa"/>
              <w:right w:w="300" w:type="dxa"/>
            </w:tcMar>
            <w:vAlign w:val="top"/>
          </w:tcPr>
          <w:p>
            <w:pPr>
              <w:keepNext w:val="0"/>
              <w:keepLines w:val="0"/>
              <w:widowControl/>
              <w:suppressLineNumbers w:val="0"/>
              <w:shd w:val="clear" w:fill="FFFFFF"/>
              <w:spacing w:before="0" w:beforeAutospacing="0" w:after="0" w:afterAutospacing="0" w:line="450" w:lineRule="atLeast"/>
              <w:ind w:left="0" w:right="0"/>
              <w:jc w:val="left"/>
              <w:rPr>
                <w:color w:val="373737"/>
                <w:sz w:val="25"/>
                <w:szCs w:val="25"/>
              </w:rPr>
            </w:pPr>
            <w:r>
              <w:rPr>
                <w:rFonts w:ascii="宋体" w:hAnsi="宋体" w:eastAsia="宋体" w:cs="宋体"/>
                <w:kern w:val="0"/>
                <w:sz w:val="25"/>
                <w:szCs w:val="25"/>
                <w:bdr w:val="none" w:color="auto" w:sz="0" w:space="0"/>
                <w:lang w:val="en-US" w:eastAsia="zh-CN" w:bidi="ar"/>
              </w:rPr>
              <w:fldChar w:fldCharType="begin"/>
            </w:r>
            <w:r>
              <w:rPr>
                <w:rFonts w:ascii="宋体" w:hAnsi="宋体" w:eastAsia="宋体" w:cs="宋体"/>
                <w:kern w:val="0"/>
                <w:sz w:val="25"/>
                <w:szCs w:val="25"/>
                <w:bdr w:val="none" w:color="auto" w:sz="0" w:space="0"/>
                <w:lang w:val="en-US" w:eastAsia="zh-CN" w:bidi="ar"/>
              </w:rPr>
              <w:instrText xml:space="preserve"> HYPERLINK "https://item.taobao.com/item.htm?spm=a1z10.3-c-s.w4002-21211505362.14.19bd48c25BdkK1&amp;id=584592719816" \t "http://www.jwgb.net/_blank" </w:instrText>
            </w:r>
            <w:r>
              <w:rPr>
                <w:rFonts w:ascii="宋体" w:hAnsi="宋体" w:eastAsia="宋体" w:cs="宋体"/>
                <w:kern w:val="0"/>
                <w:sz w:val="25"/>
                <w:szCs w:val="25"/>
                <w:bdr w:val="none" w:color="auto" w:sz="0" w:space="0"/>
                <w:lang w:val="en-US" w:eastAsia="zh-CN" w:bidi="ar"/>
              </w:rPr>
              <w:fldChar w:fldCharType="separate"/>
            </w:r>
            <w:r>
              <w:rPr>
                <w:rStyle w:val="5"/>
                <w:rFonts w:ascii="宋体" w:hAnsi="宋体" w:eastAsia="宋体" w:cs="宋体"/>
                <w:sz w:val="25"/>
                <w:szCs w:val="25"/>
                <w:bdr w:val="none" w:color="auto" w:sz="0" w:space="0"/>
              </w:rPr>
              <w:t>在线购买</w:t>
            </w:r>
            <w:r>
              <w:rPr>
                <w:rFonts w:ascii="宋体" w:hAnsi="宋体" w:eastAsia="宋体" w:cs="宋体"/>
                <w:kern w:val="0"/>
                <w:sz w:val="25"/>
                <w:szCs w:val="25"/>
                <w:bdr w:val="none" w:color="auto" w:sz="0" w:space="0"/>
                <w:lang w:val="en-US" w:eastAsia="zh-CN" w:bidi="ar"/>
              </w:rPr>
              <w:fldChar w:fldCharType="end"/>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Symbol" w:hAnsi="Symbol" w:eastAsia="Symbol" w:cs="Symbol"/>
          <w:sz w:val="24"/>
        </w:rPr>
        <w:t>·</w:t>
      </w:r>
      <w:r>
        <w:rPr>
          <w:rFonts w:hint="eastAsia" w:ascii="宋体" w:hAnsi="宋体" w:eastAsia="宋体" w:cs="宋体"/>
          <w:sz w:val="24"/>
        </w:rPr>
        <w:t xml:space="preserve">  </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A0000287" w:usb1="28C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C10C1"/>
    <w:multiLevelType w:val="multilevel"/>
    <w:tmpl w:val="229C10C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3634A8B2"/>
    <w:multiLevelType w:val="multilevel"/>
    <w:tmpl w:val="3634A8B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88E6AB6"/>
    <w:rsid w:val="78D24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jc w:val="center"/>
      <w:outlineLvl w:val="2"/>
    </w:pPr>
    <w:rPr>
      <w:rFonts w:ascii="Times New Roman" w:hAnsi="Times New Roman" w:eastAsia="宋体" w:cs="Times New Roman"/>
      <w:b/>
      <w:sz w:val="32"/>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0</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on the way</cp:lastModifiedBy>
  <dcterms:modified xsi:type="dcterms:W3CDTF">2019-08-01T08:14:16Z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